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spacing w:before="153" w:line="221" w:lineRule="auto"/>
        <w:ind w:left="842"/>
        <w:jc w:val="both"/>
        <w:rPr>
          <w:rFonts w:ascii="黑体" w:hAnsi="黑体" w:eastAsia="黑体" w:cs="黑体"/>
          <w:b/>
          <w:bCs/>
          <w:spacing w:val="2"/>
          <w:sz w:val="47"/>
          <w:szCs w:val="47"/>
        </w:rPr>
      </w:pPr>
    </w:p>
    <w:p>
      <w:pPr>
        <w:keepNext w:val="0"/>
        <w:keepLines w:val="0"/>
        <w:pageBreakBefore w:val="0"/>
        <w:wordWrap/>
        <w:overflowPunct/>
        <w:topLinePunct w:val="0"/>
        <w:bidi w:val="0"/>
        <w:spacing w:before="153" w:line="221" w:lineRule="auto"/>
        <w:ind w:left="842"/>
        <w:jc w:val="both"/>
        <w:rPr>
          <w:rFonts w:ascii="黑体" w:hAnsi="黑体" w:eastAsia="黑体" w:cs="黑体"/>
          <w:b/>
          <w:bCs/>
          <w:spacing w:val="2"/>
          <w:sz w:val="47"/>
          <w:szCs w:val="47"/>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ascii="黑体" w:hAnsi="黑体" w:eastAsia="黑体" w:cs="黑体"/>
          <w:sz w:val="47"/>
          <w:szCs w:val="47"/>
        </w:rPr>
      </w:pPr>
      <w:r>
        <w:rPr>
          <w:rFonts w:hint="eastAsia" w:ascii="黑体" w:hAnsi="黑体" w:eastAsia="黑体" w:cs="黑体"/>
          <w:b/>
          <w:bCs/>
          <w:spacing w:val="2"/>
          <w:sz w:val="47"/>
          <w:szCs w:val="47"/>
        </w:rPr>
        <w:t>衡阳市部门整体支出绩效评价报告</w:t>
      </w:r>
    </w:p>
    <w:p>
      <w:pPr>
        <w:keepNext w:val="0"/>
        <w:keepLines w:val="0"/>
        <w:pageBreakBefore w:val="0"/>
        <w:wordWrap/>
        <w:overflowPunct/>
        <w:topLinePunct w:val="0"/>
        <w:bidi w:val="0"/>
        <w:spacing w:line="251" w:lineRule="auto"/>
        <w:jc w:val="both"/>
        <w:rPr>
          <w:rFonts w:ascii="Arial"/>
          <w:sz w:val="21"/>
        </w:rPr>
      </w:pPr>
    </w:p>
    <w:p>
      <w:pPr>
        <w:keepNext w:val="0"/>
        <w:keepLines w:val="0"/>
        <w:pageBreakBefore w:val="0"/>
        <w:wordWrap/>
        <w:overflowPunct/>
        <w:topLinePunct w:val="0"/>
        <w:bidi w:val="0"/>
        <w:spacing w:line="251" w:lineRule="auto"/>
        <w:jc w:val="both"/>
        <w:rPr>
          <w:rFonts w:ascii="Arial"/>
          <w:sz w:val="21"/>
        </w:rPr>
      </w:pPr>
    </w:p>
    <w:p>
      <w:pPr>
        <w:keepNext w:val="0"/>
        <w:keepLines w:val="0"/>
        <w:pageBreakBefore w:val="0"/>
        <w:wordWrap/>
        <w:overflowPunct/>
        <w:topLinePunct w:val="0"/>
        <w:bidi w:val="0"/>
        <w:spacing w:line="251" w:lineRule="auto"/>
        <w:jc w:val="both"/>
        <w:rPr>
          <w:rFonts w:ascii="Arial"/>
          <w:sz w:val="21"/>
        </w:rPr>
      </w:pPr>
    </w:p>
    <w:p>
      <w:pPr>
        <w:keepNext w:val="0"/>
        <w:keepLines w:val="0"/>
        <w:pageBreakBefore w:val="0"/>
        <w:wordWrap/>
        <w:overflowPunct/>
        <w:topLinePunct w:val="0"/>
        <w:bidi w:val="0"/>
        <w:spacing w:line="251" w:lineRule="auto"/>
        <w:jc w:val="both"/>
        <w:rPr>
          <w:rFonts w:ascii="Arial"/>
          <w:sz w:val="21"/>
        </w:rPr>
      </w:pPr>
    </w:p>
    <w:p>
      <w:pPr>
        <w:keepNext w:val="0"/>
        <w:keepLines w:val="0"/>
        <w:pageBreakBefore w:val="0"/>
        <w:wordWrap/>
        <w:overflowPunct/>
        <w:topLinePunct w:val="0"/>
        <w:bidi w:val="0"/>
        <w:spacing w:line="252" w:lineRule="auto"/>
        <w:jc w:val="both"/>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600" w:lineRule="auto"/>
        <w:jc w:val="both"/>
        <w:textAlignment w:val="baseline"/>
        <w:rPr>
          <w:rFonts w:ascii="MS Gothic" w:hAnsi="MS Gothic" w:eastAsia="MS Gothic" w:cs="MS Gothic"/>
          <w:sz w:val="32"/>
          <w:szCs w:val="32"/>
        </w:rPr>
      </w:pPr>
      <w:r>
        <w:rPr>
          <w:rFonts w:ascii="仿宋" w:hAnsi="仿宋" w:eastAsia="仿宋" w:cs="仿宋"/>
          <w:b/>
          <w:bCs/>
          <w:spacing w:val="3"/>
          <w:sz w:val="32"/>
          <w:szCs w:val="32"/>
        </w:rPr>
        <w:t>评价项目类型：</w:t>
      </w:r>
      <w:r>
        <w:rPr>
          <w:rFonts w:ascii="仿宋" w:hAnsi="仿宋" w:eastAsia="仿宋" w:cs="仿宋"/>
          <w:spacing w:val="3"/>
          <w:sz w:val="32"/>
          <w:szCs w:val="32"/>
        </w:rPr>
        <w:t>项目实施过程评价□项目完成结果评价</w:t>
      </w:r>
      <w:r>
        <w:rPr>
          <w:rFonts w:ascii="MS Gothic" w:hAnsi="MS Gothic" w:eastAsia="MS Gothic" w:cs="MS Gothic"/>
          <w:spacing w:val="3"/>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600" w:lineRule="auto"/>
        <w:jc w:val="both"/>
        <w:textAlignment w:val="baseline"/>
        <w:rPr>
          <w:rFonts w:hint="eastAsia" w:ascii="仿宋" w:hAnsi="仿宋" w:eastAsia="仿宋" w:cs="仿宋"/>
          <w:spacing w:val="23"/>
          <w:sz w:val="32"/>
          <w:szCs w:val="32"/>
          <w:u w:val="single" w:color="auto"/>
          <w:lang w:val="en-US" w:eastAsia="zh-CN"/>
        </w:rPr>
      </w:pPr>
      <w:r>
        <w:rPr>
          <w:rFonts w:ascii="仿宋" w:hAnsi="仿宋" w:eastAsia="仿宋" w:cs="仿宋"/>
          <w:b/>
          <w:bCs/>
          <w:spacing w:val="0"/>
          <w:sz w:val="32"/>
          <w:szCs w:val="32"/>
        </w:rPr>
        <w:t>评价项目名称：</w:t>
      </w:r>
      <w:r>
        <w:rPr>
          <w:rFonts w:hint="eastAsia" w:ascii="仿宋" w:hAnsi="仿宋" w:eastAsia="仿宋" w:cs="仿宋"/>
          <w:b/>
          <w:bCs/>
          <w:spacing w:val="0"/>
          <w:sz w:val="32"/>
          <w:szCs w:val="32"/>
          <w:u w:val="single" w:color="auto"/>
          <w:lang w:val="en-US" w:eastAsia="zh-CN"/>
        </w:rPr>
        <w:t xml:space="preserve">        </w:t>
      </w:r>
      <w:r>
        <w:rPr>
          <w:rFonts w:ascii="仿宋" w:hAnsi="仿宋" w:eastAsia="仿宋" w:cs="仿宋"/>
          <w:spacing w:val="23"/>
          <w:sz w:val="32"/>
          <w:szCs w:val="32"/>
          <w:u w:val="single" w:color="auto"/>
        </w:rPr>
        <w:t>202</w:t>
      </w:r>
      <w:r>
        <w:rPr>
          <w:rFonts w:hint="eastAsia" w:ascii="仿宋" w:hAnsi="仿宋" w:eastAsia="仿宋" w:cs="仿宋"/>
          <w:spacing w:val="23"/>
          <w:sz w:val="32"/>
          <w:szCs w:val="32"/>
          <w:u w:val="single" w:color="auto"/>
          <w:lang w:val="en-US" w:eastAsia="zh-CN"/>
        </w:rPr>
        <w:t>2</w:t>
      </w:r>
      <w:r>
        <w:rPr>
          <w:rFonts w:ascii="仿宋" w:hAnsi="仿宋" w:eastAsia="仿宋" w:cs="仿宋"/>
          <w:spacing w:val="23"/>
          <w:sz w:val="32"/>
          <w:szCs w:val="32"/>
          <w:u w:val="single" w:color="auto"/>
        </w:rPr>
        <w:t>年</w:t>
      </w:r>
      <w:r>
        <w:rPr>
          <w:rFonts w:hint="eastAsia" w:ascii="仿宋" w:hAnsi="仿宋" w:eastAsia="仿宋" w:cs="仿宋"/>
          <w:spacing w:val="23"/>
          <w:sz w:val="32"/>
          <w:szCs w:val="32"/>
          <w:u w:val="single" w:color="auto"/>
          <w:lang w:val="en-US" w:eastAsia="zh-CN"/>
        </w:rPr>
        <w:t xml:space="preserve">度衡阳技师学院     </w:t>
      </w:r>
    </w:p>
    <w:p>
      <w:pPr>
        <w:keepNext w:val="0"/>
        <w:keepLines w:val="0"/>
        <w:pageBreakBefore w:val="0"/>
        <w:widowControl/>
        <w:kinsoku w:val="0"/>
        <w:wordWrap/>
        <w:overflowPunct/>
        <w:topLinePunct w:val="0"/>
        <w:autoSpaceDE w:val="0"/>
        <w:autoSpaceDN w:val="0"/>
        <w:bidi w:val="0"/>
        <w:adjustRightInd w:val="0"/>
        <w:snapToGrid w:val="0"/>
        <w:spacing w:line="600" w:lineRule="auto"/>
        <w:ind w:firstLine="2249" w:firstLineChars="700"/>
        <w:jc w:val="both"/>
        <w:textAlignment w:val="baseline"/>
        <w:rPr>
          <w:rFonts w:hint="default" w:ascii="仿宋" w:hAnsi="仿宋" w:eastAsia="仿宋" w:cs="仿宋"/>
          <w:spacing w:val="23"/>
          <w:sz w:val="32"/>
          <w:szCs w:val="32"/>
          <w:u w:val="single" w:color="auto"/>
          <w:lang w:val="en-US" w:eastAsia="zh-CN"/>
        </w:rPr>
      </w:pPr>
      <w:r>
        <w:rPr>
          <w:rFonts w:hint="eastAsia" w:ascii="仿宋" w:hAnsi="仿宋" w:eastAsia="仿宋" w:cs="仿宋"/>
          <w:b/>
          <w:bCs/>
          <w:spacing w:val="0"/>
          <w:sz w:val="32"/>
          <w:szCs w:val="32"/>
          <w:u w:val="single" w:color="auto"/>
          <w:lang w:val="en-US" w:eastAsia="zh-CN"/>
        </w:rPr>
        <w:t xml:space="preserve">        </w:t>
      </w:r>
      <w:r>
        <w:rPr>
          <w:rFonts w:hint="eastAsia" w:ascii="仿宋" w:hAnsi="仿宋" w:eastAsia="仿宋" w:cs="仿宋"/>
          <w:spacing w:val="23"/>
          <w:sz w:val="32"/>
          <w:szCs w:val="32"/>
          <w:u w:val="single" w:color="auto"/>
          <w:lang w:val="en-US" w:eastAsia="zh-CN"/>
        </w:rPr>
        <w:t xml:space="preserve">部门整体支出绩效评价              </w:t>
      </w:r>
    </w:p>
    <w:p>
      <w:pPr>
        <w:keepNext w:val="0"/>
        <w:keepLines w:val="0"/>
        <w:pageBreakBefore w:val="0"/>
        <w:widowControl/>
        <w:kinsoku w:val="0"/>
        <w:wordWrap/>
        <w:overflowPunct/>
        <w:topLinePunct w:val="0"/>
        <w:autoSpaceDE w:val="0"/>
        <w:autoSpaceDN w:val="0"/>
        <w:bidi w:val="0"/>
        <w:adjustRightInd w:val="0"/>
        <w:snapToGrid w:val="0"/>
        <w:spacing w:line="600" w:lineRule="auto"/>
        <w:jc w:val="both"/>
        <w:textAlignment w:val="baseline"/>
        <w:rPr>
          <w:rFonts w:hint="default" w:ascii="仿宋" w:hAnsi="仿宋" w:eastAsia="仿宋" w:cs="仿宋"/>
          <w:spacing w:val="53"/>
          <w:sz w:val="32"/>
          <w:szCs w:val="32"/>
          <w:u w:val="single" w:color="auto"/>
          <w:lang w:val="en-US" w:eastAsia="zh-CN"/>
        </w:rPr>
      </w:pPr>
      <w:r>
        <w:rPr>
          <w:rFonts w:ascii="仿宋" w:hAnsi="仿宋" w:eastAsia="仿宋" w:cs="仿宋"/>
          <w:b/>
          <w:bCs/>
          <w:spacing w:val="0"/>
          <w:sz w:val="32"/>
          <w:szCs w:val="32"/>
        </w:rPr>
        <w:t>评价项目单位：</w:t>
      </w:r>
      <w:r>
        <w:rPr>
          <w:rFonts w:hint="eastAsia" w:ascii="仿宋" w:hAnsi="仿宋" w:eastAsia="仿宋" w:cs="仿宋"/>
          <w:b/>
          <w:bCs/>
          <w:spacing w:val="0"/>
          <w:sz w:val="32"/>
          <w:szCs w:val="32"/>
          <w:u w:val="single"/>
          <w:lang w:val="en-US" w:eastAsia="zh-CN"/>
        </w:rPr>
        <w:t xml:space="preserve">         </w:t>
      </w:r>
      <w:r>
        <w:rPr>
          <w:rFonts w:hint="eastAsia" w:ascii="仿宋" w:hAnsi="仿宋" w:eastAsia="仿宋" w:cs="仿宋"/>
          <w:spacing w:val="53"/>
          <w:sz w:val="32"/>
          <w:szCs w:val="32"/>
          <w:u w:val="single" w:color="auto"/>
          <w:lang w:val="en-US" w:eastAsia="zh-CN"/>
        </w:rPr>
        <w:t xml:space="preserve">衡阳技师学院              </w:t>
      </w:r>
    </w:p>
    <w:p>
      <w:pPr>
        <w:keepNext w:val="0"/>
        <w:keepLines w:val="0"/>
        <w:pageBreakBefore w:val="0"/>
        <w:widowControl/>
        <w:kinsoku w:val="0"/>
        <w:wordWrap/>
        <w:overflowPunct/>
        <w:topLinePunct w:val="0"/>
        <w:autoSpaceDE w:val="0"/>
        <w:autoSpaceDN w:val="0"/>
        <w:bidi w:val="0"/>
        <w:adjustRightInd w:val="0"/>
        <w:snapToGrid w:val="0"/>
        <w:spacing w:line="600" w:lineRule="auto"/>
        <w:jc w:val="both"/>
        <w:textAlignment w:val="baseline"/>
        <w:rPr>
          <w:rFonts w:hint="default" w:ascii="仿宋" w:hAnsi="仿宋" w:eastAsia="仿宋" w:cs="仿宋"/>
          <w:b/>
          <w:bCs/>
          <w:spacing w:val="0"/>
          <w:sz w:val="32"/>
          <w:szCs w:val="32"/>
          <w:u w:val="single"/>
          <w:lang w:val="en-US" w:eastAsia="zh-CN"/>
        </w:rPr>
      </w:pPr>
      <w:r>
        <w:rPr>
          <w:rFonts w:ascii="仿宋" w:hAnsi="仿宋" w:eastAsia="仿宋" w:cs="仿宋"/>
          <w:b/>
          <w:bCs/>
          <w:spacing w:val="0"/>
          <w:sz w:val="32"/>
          <w:szCs w:val="32"/>
        </w:rPr>
        <w:t>项目资金额度：</w:t>
      </w:r>
      <w:r>
        <w:rPr>
          <w:rFonts w:ascii="仿宋" w:hAnsi="仿宋" w:eastAsia="仿宋" w:cs="仿宋"/>
          <w:spacing w:val="4"/>
          <w:sz w:val="32"/>
          <w:szCs w:val="32"/>
          <w:u w:val="single" w:color="auto"/>
        </w:rPr>
        <w:t xml:space="preserve">    </w:t>
      </w:r>
      <w:r>
        <w:rPr>
          <w:rFonts w:hint="eastAsia" w:ascii="仿宋" w:hAnsi="仿宋" w:eastAsia="仿宋" w:cs="仿宋"/>
          <w:b/>
          <w:bCs/>
          <w:spacing w:val="0"/>
          <w:sz w:val="32"/>
          <w:szCs w:val="32"/>
          <w:u w:val="single"/>
          <w:lang w:val="en-US" w:eastAsia="zh-CN"/>
        </w:rPr>
        <w:t xml:space="preserve">    </w:t>
      </w:r>
      <w:r>
        <w:rPr>
          <w:rFonts w:hint="eastAsia" w:ascii="仿宋" w:hAnsi="仿宋" w:eastAsia="仿宋" w:cs="仿宋"/>
          <w:b/>
          <w:bCs/>
          <w:color w:val="0000FF"/>
          <w:spacing w:val="0"/>
          <w:sz w:val="32"/>
          <w:szCs w:val="32"/>
          <w:u w:val="single"/>
          <w:lang w:val="en-US" w:eastAsia="zh-CN"/>
        </w:rPr>
        <w:t xml:space="preserve"> </w:t>
      </w:r>
      <w:r>
        <w:rPr>
          <w:rFonts w:hint="eastAsia" w:ascii="仿宋" w:hAnsi="仿宋" w:eastAsia="仿宋" w:cs="仿宋"/>
          <w:spacing w:val="53"/>
          <w:sz w:val="32"/>
          <w:szCs w:val="32"/>
          <w:u w:val="single" w:color="auto"/>
          <w:lang w:val="en-US" w:eastAsia="zh-CN"/>
        </w:rPr>
        <w:t xml:space="preserve"> </w:t>
      </w:r>
      <w:r>
        <w:rPr>
          <w:rFonts w:hint="eastAsia" w:ascii="仿宋" w:hAnsi="仿宋" w:eastAsia="仿宋" w:cs="仿宋"/>
          <w:b/>
          <w:bCs/>
          <w:spacing w:val="0"/>
          <w:sz w:val="32"/>
          <w:szCs w:val="32"/>
          <w:u w:val="single" w:color="auto"/>
          <w:lang w:val="en-US" w:eastAsia="zh-CN"/>
        </w:rPr>
        <w:t>24,292.17万元</w:t>
      </w:r>
      <w:r>
        <w:rPr>
          <w:rFonts w:hint="eastAsia" w:ascii="仿宋" w:hAnsi="仿宋" w:eastAsia="仿宋" w:cs="仿宋"/>
          <w:spacing w:val="53"/>
          <w:sz w:val="32"/>
          <w:szCs w:val="32"/>
          <w:u w:val="single" w:color="auto"/>
          <w:lang w:val="en-US" w:eastAsia="zh-CN"/>
        </w:rPr>
        <w:t xml:space="preserve">   </w:t>
      </w:r>
      <w:r>
        <w:rPr>
          <w:rFonts w:hint="eastAsia" w:ascii="仿宋" w:hAnsi="仿宋" w:eastAsia="仿宋" w:cs="仿宋"/>
          <w:b/>
          <w:bCs/>
          <w:color w:val="000000" w:themeColor="text1"/>
          <w:spacing w:val="0"/>
          <w:sz w:val="32"/>
          <w:szCs w:val="32"/>
          <w:u w:val="single"/>
          <w:lang w:val="en-US" w:eastAsia="zh-CN"/>
          <w14:textFill>
            <w14:solidFill>
              <w14:schemeClr w14:val="tx1"/>
            </w14:solidFill>
          </w14:textFill>
        </w:rPr>
        <w:t xml:space="preserve">   </w:t>
      </w:r>
      <w:r>
        <w:rPr>
          <w:rFonts w:hint="eastAsia" w:ascii="仿宋" w:hAnsi="仿宋" w:eastAsia="仿宋" w:cs="仿宋"/>
          <w:b/>
          <w:bCs/>
          <w:spacing w:val="0"/>
          <w:sz w:val="32"/>
          <w:szCs w:val="32"/>
          <w:u w:val="single"/>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600" w:lineRule="auto"/>
        <w:jc w:val="both"/>
        <w:textAlignment w:val="baseline"/>
        <w:rPr>
          <w:rFonts w:hint="default" w:ascii="仿宋" w:hAnsi="仿宋" w:eastAsia="仿宋" w:cs="仿宋"/>
          <w:sz w:val="32"/>
          <w:szCs w:val="32"/>
          <w:lang w:val="en-US" w:eastAsia="zh-CN"/>
        </w:rPr>
      </w:pPr>
      <w:r>
        <w:rPr>
          <w:rFonts w:ascii="仿宋" w:hAnsi="仿宋" w:eastAsia="仿宋" w:cs="仿宋"/>
          <w:b/>
          <w:bCs/>
          <w:spacing w:val="0"/>
          <w:sz w:val="32"/>
          <w:szCs w:val="32"/>
        </w:rPr>
        <w:t>项目主管部门：</w:t>
      </w:r>
      <w:r>
        <w:rPr>
          <w:rFonts w:ascii="仿宋" w:hAnsi="仿宋" w:eastAsia="仿宋" w:cs="仿宋"/>
          <w:spacing w:val="9"/>
          <w:sz w:val="32"/>
          <w:szCs w:val="32"/>
          <w:u w:val="single" w:color="auto"/>
        </w:rPr>
        <w:t xml:space="preserve">  </w:t>
      </w:r>
      <w:r>
        <w:rPr>
          <w:rFonts w:hint="eastAsia" w:ascii="仿宋" w:hAnsi="仿宋" w:eastAsia="仿宋" w:cs="仿宋"/>
          <w:spacing w:val="9"/>
          <w:sz w:val="32"/>
          <w:szCs w:val="32"/>
          <w:u w:val="single" w:color="auto"/>
          <w:lang w:val="en-US" w:eastAsia="zh-CN"/>
        </w:rPr>
        <w:t xml:space="preserve"> </w:t>
      </w:r>
      <w:r>
        <w:rPr>
          <w:rFonts w:ascii="仿宋" w:hAnsi="仿宋" w:eastAsia="仿宋" w:cs="仿宋"/>
          <w:spacing w:val="9"/>
          <w:sz w:val="32"/>
          <w:szCs w:val="32"/>
          <w:u w:val="single" w:color="auto"/>
        </w:rPr>
        <w:t xml:space="preserve">  </w:t>
      </w:r>
      <w:r>
        <w:rPr>
          <w:rFonts w:hint="eastAsia" w:ascii="仿宋" w:hAnsi="仿宋" w:eastAsia="仿宋" w:cs="仿宋"/>
          <w:spacing w:val="9"/>
          <w:sz w:val="32"/>
          <w:szCs w:val="32"/>
          <w:u w:val="single" w:color="auto"/>
          <w:lang w:val="en-US" w:eastAsia="zh-CN"/>
        </w:rPr>
        <w:t xml:space="preserve">   </w:t>
      </w:r>
      <w:r>
        <w:rPr>
          <w:rFonts w:ascii="仿宋" w:hAnsi="仿宋" w:eastAsia="仿宋" w:cs="仿宋"/>
          <w:spacing w:val="20"/>
          <w:sz w:val="32"/>
          <w:szCs w:val="32"/>
          <w:u w:val="single" w:color="auto"/>
        </w:rPr>
        <w:t xml:space="preserve"> 衡阳市人民政府</w:t>
      </w:r>
      <w:r>
        <w:rPr>
          <w:rFonts w:ascii="仿宋" w:hAnsi="仿宋" w:eastAsia="仿宋" w:cs="仿宋"/>
          <w:sz w:val="32"/>
          <w:szCs w:val="32"/>
          <w:u w:val="single" w:color="auto"/>
        </w:rPr>
        <w:t xml:space="preserve">     </w:t>
      </w:r>
      <w:r>
        <w:rPr>
          <w:rFonts w:hint="eastAsia" w:ascii="仿宋" w:hAnsi="仿宋" w:eastAsia="仿宋" w:cs="仿宋"/>
          <w:sz w:val="32"/>
          <w:szCs w:val="32"/>
          <w:u w:val="single" w:color="auto"/>
          <w:lang w:val="en-US" w:eastAsia="zh-CN"/>
        </w:rPr>
        <w:t xml:space="preserve">   </w:t>
      </w:r>
      <w:r>
        <w:rPr>
          <w:rFonts w:ascii="仿宋" w:hAnsi="仿宋" w:eastAsia="仿宋" w:cs="仿宋"/>
          <w:sz w:val="32"/>
          <w:szCs w:val="32"/>
          <w:u w:val="single" w:color="auto"/>
        </w:rPr>
        <w:t xml:space="preserve">      </w:t>
      </w:r>
      <w:r>
        <w:rPr>
          <w:rFonts w:hint="eastAsia" w:ascii="仿宋" w:hAnsi="仿宋" w:eastAsia="仿宋" w:cs="仿宋"/>
          <w:sz w:val="32"/>
          <w:szCs w:val="32"/>
          <w:u w:val="single" w:color="auto"/>
          <w:lang w:val="en-US" w:eastAsia="zh-CN"/>
        </w:rPr>
        <w:t xml:space="preserve">   </w:t>
      </w:r>
    </w:p>
    <w:p>
      <w:pPr>
        <w:keepNext w:val="0"/>
        <w:keepLines w:val="0"/>
        <w:pageBreakBefore w:val="0"/>
        <w:wordWrap/>
        <w:overflowPunct/>
        <w:topLinePunct w:val="0"/>
        <w:bidi w:val="0"/>
        <w:spacing w:line="276" w:lineRule="auto"/>
        <w:jc w:val="both"/>
        <w:rPr>
          <w:rFonts w:ascii="Arial"/>
          <w:sz w:val="32"/>
          <w:szCs w:val="32"/>
        </w:rPr>
      </w:pPr>
    </w:p>
    <w:p>
      <w:pPr>
        <w:keepNext w:val="0"/>
        <w:keepLines w:val="0"/>
        <w:pageBreakBefore w:val="0"/>
        <w:wordWrap/>
        <w:overflowPunct/>
        <w:topLinePunct w:val="0"/>
        <w:bidi w:val="0"/>
        <w:spacing w:line="277" w:lineRule="auto"/>
        <w:jc w:val="both"/>
        <w:rPr>
          <w:rFonts w:ascii="Arial"/>
          <w:sz w:val="32"/>
          <w:szCs w:val="32"/>
        </w:rPr>
      </w:pPr>
    </w:p>
    <w:p>
      <w:pPr>
        <w:keepNext w:val="0"/>
        <w:keepLines w:val="0"/>
        <w:pageBreakBefore w:val="0"/>
        <w:wordWrap/>
        <w:overflowPunct/>
        <w:topLinePunct w:val="0"/>
        <w:bidi w:val="0"/>
        <w:spacing w:line="277" w:lineRule="auto"/>
        <w:jc w:val="both"/>
        <w:rPr>
          <w:rFonts w:ascii="Arial"/>
          <w:sz w:val="32"/>
          <w:szCs w:val="32"/>
        </w:rPr>
      </w:pPr>
    </w:p>
    <w:p>
      <w:pPr>
        <w:keepNext w:val="0"/>
        <w:keepLines w:val="0"/>
        <w:pageBreakBefore w:val="0"/>
        <w:wordWrap/>
        <w:overflowPunct/>
        <w:topLinePunct w:val="0"/>
        <w:bidi w:val="0"/>
        <w:spacing w:line="277" w:lineRule="auto"/>
        <w:jc w:val="both"/>
        <w:rPr>
          <w:rFonts w:ascii="Arial"/>
          <w:sz w:val="32"/>
          <w:szCs w:val="32"/>
        </w:rPr>
      </w:pPr>
    </w:p>
    <w:p>
      <w:pPr>
        <w:keepNext w:val="0"/>
        <w:keepLines w:val="0"/>
        <w:pageBreakBefore w:val="0"/>
        <w:wordWrap/>
        <w:overflowPunct/>
        <w:topLinePunct w:val="0"/>
        <w:bidi w:val="0"/>
        <w:spacing w:line="277" w:lineRule="auto"/>
        <w:jc w:val="both"/>
        <w:rPr>
          <w:rFonts w:ascii="Arial"/>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rPr>
          <w:rFonts w:ascii="仿宋" w:hAnsi="仿宋" w:eastAsia="仿宋" w:cs="仿宋"/>
          <w:b/>
          <w:bCs/>
          <w:spacing w:val="20"/>
          <w:sz w:val="32"/>
          <w:szCs w:val="32"/>
        </w:rPr>
      </w:pPr>
      <w:r>
        <w:rPr>
          <w:rFonts w:ascii="仿宋" w:hAnsi="仿宋" w:eastAsia="仿宋" w:cs="仿宋"/>
          <w:b/>
          <w:bCs/>
          <w:spacing w:val="20"/>
          <w:sz w:val="32"/>
          <w:szCs w:val="32"/>
        </w:rPr>
        <w:t>报告日期：202</w:t>
      </w:r>
      <w:r>
        <w:rPr>
          <w:rFonts w:hint="eastAsia" w:ascii="仿宋" w:hAnsi="仿宋" w:eastAsia="仿宋" w:cs="仿宋"/>
          <w:b/>
          <w:bCs/>
          <w:spacing w:val="20"/>
          <w:sz w:val="32"/>
          <w:szCs w:val="32"/>
          <w:lang w:val="en-US" w:eastAsia="zh-CN"/>
        </w:rPr>
        <w:t>3</w:t>
      </w:r>
      <w:r>
        <w:rPr>
          <w:rFonts w:ascii="仿宋" w:hAnsi="仿宋" w:eastAsia="仿宋" w:cs="仿宋"/>
          <w:b/>
          <w:bCs/>
          <w:spacing w:val="20"/>
          <w:sz w:val="32"/>
          <w:szCs w:val="32"/>
        </w:rPr>
        <w:t>年8月</w:t>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rPr>
          <w:rFonts w:ascii="仿宋" w:hAnsi="仿宋" w:eastAsia="仿宋" w:cs="仿宋"/>
          <w:b/>
          <w:bCs/>
          <w:spacing w:val="20"/>
          <w:sz w:val="32"/>
          <w:szCs w:val="32"/>
        </w:rPr>
      </w:pPr>
      <w:r>
        <w:rPr>
          <w:rFonts w:ascii="仿宋" w:hAnsi="仿宋" w:eastAsia="仿宋" w:cs="仿宋"/>
          <w:b/>
          <w:bCs/>
          <w:spacing w:val="20"/>
          <w:sz w:val="32"/>
          <w:szCs w:val="32"/>
        </w:rPr>
        <w:t>衡阳市财政局制</w:t>
      </w:r>
    </w:p>
    <w:p>
      <w:pPr>
        <w:keepNext w:val="0"/>
        <w:keepLines w:val="0"/>
        <w:pageBreakBefore w:val="0"/>
        <w:widowControl/>
        <w:kinsoku w:val="0"/>
        <w:wordWrap/>
        <w:overflowPunct/>
        <w:topLinePunct w:val="0"/>
        <w:autoSpaceDE w:val="0"/>
        <w:autoSpaceDN w:val="0"/>
        <w:bidi w:val="0"/>
        <w:adjustRightInd w:val="0"/>
        <w:snapToGrid w:val="0"/>
        <w:spacing w:line="480" w:lineRule="auto"/>
        <w:jc w:val="center"/>
        <w:textAlignment w:val="baseline"/>
        <w:rPr>
          <w:rFonts w:ascii="仿宋" w:hAnsi="仿宋" w:eastAsia="仿宋" w:cs="仿宋"/>
          <w:b/>
          <w:bCs/>
          <w:spacing w:val="20"/>
          <w:sz w:val="32"/>
          <w:szCs w:val="32"/>
        </w:rPr>
        <w:sectPr>
          <w:pgSz w:w="11900" w:h="16840"/>
          <w:pgMar w:top="1431" w:right="1785" w:bottom="0" w:left="1534" w:header="0" w:footer="0" w:gutter="0"/>
          <w:pgNumType w:fmt="decimal"/>
          <w:cols w:space="720" w:num="1"/>
        </w:sectPr>
      </w:pP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为贯彻落实《中共中央国务院关于全面实施预算绩效管理的意见》（中发〔2018〕34号）、《中共湖南省委办公厅 湖南省人民政府办公厅关于全面实施预算绩效管理的实施意见》（湘办发〔2019〕10号）、《中共衡阳市委办公室 衡阳市人民政府关于印发&lt;衡阳市预算绩效管理实施办法&gt;的通知》（衡办发〔2022〕13号）和《衡阳市财政局关于开展2022年度市直预算部门整体支出财政绩效评价的通知》（衡财绩〔2023〕193号）等精神，受衡阳市财政局（以下简称“市财政局”）委托，湖南众智金石经济咨询有限公司对衡阳技师学院（以下简称“技师学院”）2022年部门整体支出实施了绩效评价。评价采用定量分析和定性分析相结合的方法，在被评价单位提供资料的基础上，按照重要性原则，根据该项目的实际情况，实施了资料审阅、账务核实、现场查勘、抽查支付记录、询问、分析计算等必要的现场评价程序，并结合预算决策、预算执行、预算监督、项目决策、资金使用、财务管理、部门履职和履职效益等方面进行了综合评价。现将部门整体绩效评价情况报告如下：</w:t>
      </w:r>
    </w:p>
    <w:p>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600" w:lineRule="exact"/>
        <w:jc w:val="both"/>
        <w:textAlignment w:val="baseline"/>
        <w:rPr>
          <w:rFonts w:hint="eastAsia" w:eastAsia="黑体"/>
          <w:sz w:val="32"/>
          <w:szCs w:val="32"/>
          <w:lang w:val="en-US" w:eastAsia="zh-CN"/>
        </w:rPr>
      </w:pPr>
      <w:r>
        <w:rPr>
          <w:rFonts w:eastAsia="黑体"/>
          <w:sz w:val="32"/>
          <w:szCs w:val="32"/>
        </w:rPr>
        <w:t>一、</w:t>
      </w:r>
      <w:r>
        <w:rPr>
          <w:rFonts w:hint="eastAsia" w:eastAsia="黑体"/>
          <w:sz w:val="32"/>
          <w:szCs w:val="32"/>
          <w:lang w:val="en-US" w:eastAsia="zh-CN"/>
        </w:rPr>
        <w:t>部门概况</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textAlignment w:val="baseline"/>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部门基本概况</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衡阳技师学院是2006年8月经湖南省人民政府批准成立的全省第一所技师学院。学院由原衡阳市第一高级技工学校、衡阳市生物与信息学校、衡阳市经济贸易学校、衡阳市机电工程学校四所学校合并升格而成，学院以培养技师、高职大专、高技、中专、中技专业人才为主，是集高等学历教育、职业技能教育、职业技能鉴定为一体的公办综合性学院。</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 w:hAnsi="仿宋" w:eastAsia="华文楷体" w:cs="仿宋"/>
          <w:sz w:val="32"/>
          <w:szCs w:val="32"/>
          <w:lang w:eastAsia="zh-CN"/>
        </w:rPr>
      </w:pPr>
      <w:r>
        <w:rPr>
          <w:rFonts w:hint="eastAsia" w:ascii="华文楷体" w:hAnsi="华文楷体" w:eastAsia="华文楷体" w:cs="华文楷体"/>
          <w:b/>
          <w:bCs/>
          <w:sz w:val="32"/>
          <w:szCs w:val="32"/>
          <w:lang w:val="en-US" w:eastAsia="zh-CN"/>
        </w:rPr>
        <w:t>1.</w:t>
      </w:r>
      <w:r>
        <w:rPr>
          <w:rFonts w:hint="eastAsia" w:ascii="华文楷体" w:hAnsi="华文楷体" w:eastAsia="华文楷体" w:cs="华文楷体"/>
          <w:b/>
          <w:bCs/>
          <w:sz w:val="32"/>
          <w:szCs w:val="32"/>
        </w:rPr>
        <w:t>部门</w:t>
      </w:r>
      <w:r>
        <w:rPr>
          <w:rFonts w:hint="eastAsia" w:ascii="华文楷体" w:hAnsi="华文楷体" w:eastAsia="华文楷体" w:cs="华文楷体"/>
          <w:b/>
          <w:bCs/>
          <w:sz w:val="32"/>
          <w:szCs w:val="32"/>
          <w:lang w:val="en-US" w:eastAsia="zh-CN"/>
        </w:rPr>
        <w:t>职能职责</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衡阳技师学院为衡阳市人民政府举办按副厅级管理的公益二类事业单位。学院实行党委领导下的院长负责制。学院党委是学院的领导核心，履行对学院工作的全面领导职责，把握学院发展方向，决定学院重大问题，监督重大决议执行，支持院长依法依规行使职责，保证完成以人才培养为中心的各项任务。</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学院全面落实党的教育方针政策和国家法律法规，主要承担以下职责:</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（1）负责学院党的建设和思想政治工作: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（2）承担电气工程、智能制造、信息工程、现代物流、经贸旅游、交通工程、乡村振兴等相关专业的职业技术人才培养及其科学研究、社会服务工作;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（3）负责招生就业及创新创业指导工作;</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（4）负责学科专业及其师资队伍建设;</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（5）负责后勤保障及平安校园建设;</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（6）承担市委市政府及省人力资源和社会保障厅交办</w:t>
      </w:r>
    </w:p>
    <w:p>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的其他工作。</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华文楷体" w:hAnsi="华文楷体" w:eastAsia="华文楷体" w:cs="华文楷体"/>
          <w:b/>
          <w:bCs/>
          <w:sz w:val="32"/>
          <w:szCs w:val="32"/>
          <w:lang w:val="en-US" w:eastAsia="zh-CN"/>
        </w:rPr>
      </w:pPr>
      <w:r>
        <w:rPr>
          <w:rFonts w:hint="eastAsia" w:ascii="华文楷体" w:hAnsi="华文楷体" w:eastAsia="华文楷体" w:cs="华文楷体"/>
          <w:b/>
          <w:bCs/>
          <w:sz w:val="32"/>
          <w:szCs w:val="32"/>
          <w:lang w:val="en-US" w:eastAsia="zh-CN"/>
        </w:rPr>
        <w:t>2.机构设置</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衡阳技师学院内设12个党政管理机构、15个教学教辅机构。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（1）党政管理机构分别为：党政办公室，组织人事处，宣传统战部，教务处，计划财务处，招生就业指导处，学生工作处（武装部），后勤保卫处，资产管理处，发展规划处，审计处，基建处。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（2）教学机构分别为：人文素质学院，马克思主义学院，职业培训学院，继续教育学院，电气工程学院，智能制造学院，信息工程学院，现代物流学院，经贸旅游学院，交通工程学院，乡村报兴学院。</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（3）教辅机构分别为：实训中心，图书馆，信息中心，</w:t>
      </w:r>
    </w:p>
    <w:p>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创新创业中心。</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default" w:ascii="华文楷体" w:hAnsi="华文楷体" w:eastAsia="华文楷体" w:cs="华文楷体"/>
          <w:b/>
          <w:bCs/>
          <w:sz w:val="32"/>
          <w:szCs w:val="32"/>
          <w:lang w:val="en-US" w:eastAsia="zh-CN"/>
        </w:rPr>
      </w:pPr>
      <w:r>
        <w:rPr>
          <w:rFonts w:hint="eastAsia" w:ascii="华文楷体" w:hAnsi="华文楷体" w:eastAsia="华文楷体" w:cs="华文楷体"/>
          <w:b/>
          <w:bCs/>
          <w:sz w:val="32"/>
          <w:szCs w:val="32"/>
          <w:lang w:val="en-US" w:eastAsia="zh-CN"/>
        </w:rPr>
        <w:t>3.人员配置</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衡阳技师学院全额拨款事业编制867名。2022年末实有在职职工737名，其中: 非参公事业人员638人，临聘人员99人。</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321" w:firstLineChars="100"/>
        <w:textAlignment w:val="baseline"/>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（二）单位整体支出规模、使用方向和主要内容、涉及范围等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snapToGrid/>
          <w:color w:val="000000"/>
          <w:kern w:val="2"/>
          <w:sz w:val="32"/>
          <w:szCs w:val="32"/>
          <w:lang w:val="en-US" w:eastAsia="zh-CN" w:bidi="ar-SA"/>
        </w:rPr>
      </w:pPr>
      <w:r>
        <w:rPr>
          <w:rFonts w:hint="eastAsia" w:ascii="Times New Roman" w:hAnsi="Times New Roman" w:eastAsia="仿宋" w:cs="Times New Roman"/>
          <w:snapToGrid/>
          <w:color w:val="000000"/>
          <w:kern w:val="2"/>
          <w:sz w:val="32"/>
          <w:szCs w:val="32"/>
          <w:lang w:val="en-US" w:eastAsia="zh-CN" w:bidi="ar-SA"/>
        </w:rPr>
        <w:t>2022年技师学院决算整体支出为19,550.14万元</w:t>
      </w:r>
      <w:r>
        <w:rPr>
          <w:rStyle w:val="12"/>
          <w:rFonts w:hint="eastAsia" w:ascii="Times New Roman" w:hAnsi="Times New Roman" w:eastAsia="仿宋" w:cs="Times New Roman"/>
          <w:snapToGrid/>
          <w:color w:val="000000"/>
          <w:kern w:val="2"/>
          <w:sz w:val="32"/>
          <w:szCs w:val="32"/>
          <w:lang w:val="en-US" w:eastAsia="zh-CN" w:bidi="ar-SA"/>
        </w:rPr>
        <w:footnoteReference w:id="0"/>
      </w:r>
      <w:r>
        <w:rPr>
          <w:rFonts w:hint="eastAsia" w:ascii="Times New Roman" w:hAnsi="Times New Roman" w:eastAsia="仿宋" w:cs="Times New Roman"/>
          <w:snapToGrid/>
          <w:color w:val="000000"/>
          <w:kern w:val="2"/>
          <w:sz w:val="32"/>
          <w:szCs w:val="32"/>
          <w:lang w:val="en-US" w:eastAsia="zh-CN" w:bidi="ar-SA"/>
        </w:rPr>
        <w:t>，其中：基本支出16,069.46万元，项目支出3,480.68万元。资金的使用方向为人员经费支出、日常公用经费支出和行政事业类项目支出，主要包括工资福利支出、商品和服务支出、对个人和家庭的补助、债务利息及费用支出及资本性支出。</w:t>
      </w:r>
    </w:p>
    <w:p>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600" w:lineRule="exact"/>
        <w:jc w:val="both"/>
        <w:textAlignment w:val="baseline"/>
        <w:rPr>
          <w:rFonts w:hint="eastAsia" w:eastAsia="黑体"/>
          <w:sz w:val="32"/>
          <w:szCs w:val="32"/>
        </w:rPr>
      </w:pPr>
      <w:r>
        <w:rPr>
          <w:rFonts w:hint="eastAsia" w:eastAsia="黑体"/>
          <w:sz w:val="32"/>
          <w:szCs w:val="32"/>
        </w:rPr>
        <w:t>二、</w:t>
      </w:r>
      <w:r>
        <w:rPr>
          <w:rFonts w:hint="eastAsia" w:eastAsia="黑体"/>
          <w:sz w:val="32"/>
          <w:szCs w:val="32"/>
          <w:lang w:val="en-US" w:eastAsia="zh-CN"/>
        </w:rPr>
        <w:t>2022年</w:t>
      </w:r>
      <w:r>
        <w:rPr>
          <w:rFonts w:hint="eastAsia" w:eastAsia="黑体"/>
          <w:sz w:val="32"/>
          <w:szCs w:val="32"/>
        </w:rPr>
        <w:t>一般公共预算支出情况</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napToGrid w:val="0"/>
          <w:color w:val="auto"/>
          <w:kern w:val="0"/>
          <w:sz w:val="32"/>
          <w:szCs w:val="32"/>
          <w:lang w:val="en-US" w:eastAsia="zh-CN"/>
        </w:rPr>
      </w:pPr>
      <w:r>
        <w:rPr>
          <w:rFonts w:hint="eastAsia" w:ascii="仿宋" w:hAnsi="仿宋" w:eastAsia="仿宋" w:cs="仿宋"/>
          <w:snapToGrid w:val="0"/>
          <w:color w:val="auto"/>
          <w:kern w:val="0"/>
          <w:sz w:val="32"/>
          <w:szCs w:val="32"/>
          <w:lang w:val="en-US" w:eastAsia="zh-CN"/>
        </w:rPr>
        <w:t>2022年技师学院年初部门预算</w:t>
      </w:r>
      <w:bookmarkStart w:id="0" w:name="OLE_LINK1"/>
      <w:r>
        <w:rPr>
          <w:rFonts w:hint="eastAsia" w:ascii="宋体" w:hAnsi="宋体" w:cs="宋体"/>
          <w:b w:val="0"/>
          <w:i w:val="0"/>
          <w:strike w:val="0"/>
          <w:dstrike w:val="0"/>
          <w:color w:val="auto"/>
          <w:kern w:val="0"/>
          <w:sz w:val="30"/>
          <w:szCs w:val="30"/>
          <w:u w:val="none"/>
          <w:lang w:val="en-US" w:eastAsia="zh-CN" w:bidi="hi-IN"/>
        </w:rPr>
        <w:t>21,864.02</w:t>
      </w:r>
      <w:bookmarkEnd w:id="0"/>
      <w:r>
        <w:rPr>
          <w:rFonts w:hint="eastAsia" w:ascii="仿宋" w:hAnsi="仿宋" w:eastAsia="仿宋" w:cs="仿宋"/>
          <w:snapToGrid w:val="0"/>
          <w:color w:val="auto"/>
          <w:kern w:val="0"/>
          <w:sz w:val="32"/>
          <w:szCs w:val="32"/>
          <w:lang w:val="en-US" w:eastAsia="zh-CN"/>
        </w:rPr>
        <w:t>万元，</w:t>
      </w:r>
      <w:r>
        <w:rPr>
          <w:rFonts w:hint="eastAsia" w:ascii="Times New Roman" w:hAnsi="Times New Roman" w:eastAsia="仿宋" w:cs="Times New Roman"/>
          <w:snapToGrid/>
          <w:color w:val="000000"/>
          <w:kern w:val="2"/>
          <w:sz w:val="32"/>
          <w:szCs w:val="32"/>
          <w:lang w:val="en-US" w:eastAsia="zh-CN" w:bidi="ar-SA"/>
        </w:rPr>
        <w:t>其中，一般公共预算拨款7,664.02万元，非税收入拨款8,800.00万元，上级财政补助收入4,600.00万元，其他收入800.00万元；</w:t>
      </w:r>
      <w:r>
        <w:rPr>
          <w:rFonts w:hint="eastAsia" w:ascii="仿宋" w:hAnsi="仿宋" w:eastAsia="仿宋" w:cs="仿宋"/>
          <w:snapToGrid w:val="0"/>
          <w:color w:val="auto"/>
          <w:kern w:val="0"/>
          <w:sz w:val="32"/>
          <w:szCs w:val="32"/>
          <w:lang w:val="en-US" w:eastAsia="zh-CN"/>
        </w:rPr>
        <w:t>年中调</w:t>
      </w:r>
      <w:r>
        <w:rPr>
          <w:rFonts w:hint="eastAsia" w:ascii="Times New Roman" w:hAnsi="Times New Roman" w:eastAsia="仿宋" w:cs="Times New Roman"/>
          <w:snapToGrid/>
          <w:color w:val="000000"/>
          <w:kern w:val="2"/>
          <w:sz w:val="32"/>
          <w:szCs w:val="32"/>
          <w:lang w:val="en-US" w:eastAsia="zh-CN" w:bidi="ar-SA"/>
        </w:rPr>
        <w:t>增1,223.36万元，年末总预算23,087.38万元，决算</w:t>
      </w:r>
      <w:r>
        <w:rPr>
          <w:rFonts w:hint="eastAsia" w:ascii="仿宋" w:hAnsi="仿宋" w:eastAsia="仿宋" w:cs="仿宋"/>
          <w:snapToGrid w:val="0"/>
          <w:color w:val="auto"/>
          <w:kern w:val="0"/>
          <w:sz w:val="32"/>
          <w:szCs w:val="32"/>
          <w:lang w:val="en-US" w:eastAsia="zh-CN"/>
        </w:rPr>
        <w:t>支出19,550.14万元</w:t>
      </w:r>
      <w:r>
        <w:rPr>
          <w:rFonts w:hint="eastAsia" w:ascii="Times New Roman" w:hAnsi="Times New Roman" w:eastAsia="仿宋" w:cs="Times New Roman"/>
          <w:snapToGrid/>
          <w:color w:val="000000"/>
          <w:kern w:val="2"/>
          <w:sz w:val="32"/>
          <w:szCs w:val="32"/>
          <w:lang w:val="en-US" w:eastAsia="zh-CN" w:bidi="ar-SA"/>
        </w:rPr>
        <w:t>，整体支出的预算执行率为84.68%。预算执行率低于95%的主要原因项目支出预算编制不精准等影响已下达未支付的预算指标达2,313.88万元。年</w:t>
      </w:r>
      <w:r>
        <w:rPr>
          <w:rFonts w:hint="eastAsia" w:ascii="仿宋" w:hAnsi="仿宋" w:eastAsia="仿宋" w:cs="仿宋"/>
          <w:snapToGrid w:val="0"/>
          <w:color w:val="auto"/>
          <w:kern w:val="0"/>
          <w:sz w:val="32"/>
          <w:szCs w:val="32"/>
          <w:lang w:val="en-US" w:eastAsia="zh-CN"/>
        </w:rPr>
        <w:t>中调增的主要原因有：一是人员经费相应增加620.53万元，包括2022年度增人增资289.22万元、基本工资提标279.55万元等；二是项目支出增加602.83万元，包括补助职业能力建设专项资金155.00万元(湘财社指〔2022〕68号)、2022年第三批省制造强省专项资金（湘财企指〔2022〕54号）70.00万元、2022年市县中职学校改善办学条件中央资金（湘财预〔2022〕0108号）311.00万元等。</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321" w:firstLineChars="100"/>
        <w:jc w:val="both"/>
        <w:textAlignment w:val="baseline"/>
        <w:rPr>
          <w:rFonts w:hint="eastAsia" w:ascii="仿宋" w:hAnsi="仿宋" w:eastAsia="仿宋" w:cs="仿宋"/>
          <w:b/>
          <w:bCs/>
          <w:snapToGrid w:val="0"/>
          <w:color w:val="000000" w:themeColor="text1"/>
          <w:kern w:val="0"/>
          <w:sz w:val="32"/>
          <w:szCs w:val="32"/>
          <w:lang w:val="en-US" w:eastAsia="zh-CN"/>
          <w14:textFill>
            <w14:solidFill>
              <w14:schemeClr w14:val="tx1"/>
            </w14:solidFill>
          </w14:textFill>
        </w:rPr>
      </w:pPr>
      <w:r>
        <w:rPr>
          <w:rFonts w:hint="eastAsia" w:ascii="仿宋" w:hAnsi="仿宋" w:eastAsia="仿宋" w:cs="仿宋"/>
          <w:b/>
          <w:bCs/>
          <w:snapToGrid w:val="0"/>
          <w:color w:val="000000" w:themeColor="text1"/>
          <w:kern w:val="0"/>
          <w:sz w:val="32"/>
          <w:szCs w:val="32"/>
          <w:lang w:val="en-US" w:eastAsia="zh-CN"/>
          <w14:textFill>
            <w14:solidFill>
              <w14:schemeClr w14:val="tx1"/>
            </w14:solidFill>
          </w14:textFill>
        </w:rPr>
        <w:t>（一）基本支出</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napToGrid w:val="0"/>
          <w:color w:val="000000" w:themeColor="text1"/>
          <w:kern w:val="0"/>
          <w:sz w:val="32"/>
          <w:szCs w:val="32"/>
          <w:lang w:val="en-US" w:eastAsia="zh-CN"/>
          <w14:textFill>
            <w14:solidFill>
              <w14:schemeClr w14:val="tx1"/>
            </w14:solidFill>
          </w14:textFill>
        </w:rPr>
      </w:pPr>
      <w:r>
        <w:rPr>
          <w:rFonts w:hint="eastAsia" w:ascii="仿宋" w:hAnsi="仿宋" w:eastAsia="仿宋" w:cs="仿宋"/>
          <w:snapToGrid w:val="0"/>
          <w:color w:val="000000" w:themeColor="text1"/>
          <w:kern w:val="0"/>
          <w:sz w:val="32"/>
          <w:szCs w:val="32"/>
          <w:lang w:val="en-US" w:eastAsia="zh-CN"/>
          <w14:textFill>
            <w14:solidFill>
              <w14:schemeClr w14:val="tx1"/>
            </w14:solidFill>
          </w14:textFill>
        </w:rPr>
        <w:t>基本支出主要为保障单位机构正常运转、完成日常工作任务而发生的各项支出，包括工资福利支出、对个人和家庭的补助等人员经费和水电费、邮电费、劳务费、公务接待费、公务用车运行维护费等日常公用经费。</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napToGrid w:val="0"/>
          <w:color w:val="000000" w:themeColor="text1"/>
          <w:kern w:val="0"/>
          <w:sz w:val="32"/>
          <w:szCs w:val="32"/>
          <w:lang w:val="en-US" w:eastAsia="zh-CN"/>
          <w14:textFill>
            <w14:solidFill>
              <w14:schemeClr w14:val="tx1"/>
            </w14:solidFill>
          </w14:textFill>
        </w:rPr>
      </w:pPr>
      <w:r>
        <w:rPr>
          <w:rFonts w:hint="eastAsia" w:ascii="仿宋" w:hAnsi="仿宋" w:eastAsia="仿宋" w:cs="仿宋"/>
          <w:snapToGrid w:val="0"/>
          <w:color w:val="000000" w:themeColor="text1"/>
          <w:kern w:val="0"/>
          <w:sz w:val="32"/>
          <w:szCs w:val="32"/>
          <w:lang w:val="en-US" w:eastAsia="zh-CN"/>
          <w14:textFill>
            <w14:solidFill>
              <w14:schemeClr w14:val="tx1"/>
            </w14:solidFill>
          </w14:textFill>
        </w:rPr>
        <w:t>2022年技师学院基本支出年初预算11,541.87万元，年中调增912.36万元，年末预算12,454.23万元，决算支出16,069.46元，基本支出预算执行率129.03%。</w:t>
      </w:r>
    </w:p>
    <w:p>
      <w:pPr>
        <w:pStyle w:val="3"/>
        <w:rPr>
          <w:rFonts w:hint="eastAsia"/>
          <w:lang w:val="en-US" w:eastAsia="zh-CN"/>
        </w:rPr>
      </w:pPr>
      <w:r>
        <w:rPr>
          <w:rFonts w:hint="eastAsia"/>
          <w:lang w:val="en-US" w:eastAsia="zh-CN"/>
        </w:rPr>
        <w:t>表一：基本支出情况表（单位：万元）</w:t>
      </w:r>
    </w:p>
    <w:tbl>
      <w:tblPr>
        <w:tblStyle w:val="10"/>
        <w:tblW w:w="88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
        <w:gridCol w:w="1501"/>
        <w:gridCol w:w="1206"/>
        <w:gridCol w:w="969"/>
        <w:gridCol w:w="1206"/>
        <w:gridCol w:w="1206"/>
        <w:gridCol w:w="1206"/>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仿宋" w:hAnsi="仿宋" w:eastAsia="仿宋" w:cs="仿宋"/>
                <w:snapToGrid w:val="0"/>
                <w:color w:val="000000"/>
                <w:kern w:val="0"/>
                <w:sz w:val="32"/>
                <w:szCs w:val="32"/>
                <w:vertAlign w:val="baseline"/>
                <w:lang w:val="en-US" w:eastAsia="zh-CN"/>
              </w:rPr>
            </w:pPr>
            <w:r>
              <w:rPr>
                <w:rFonts w:hint="eastAsia" w:ascii="宋体" w:hAnsi="宋体" w:cs="宋体"/>
                <w:b/>
                <w:bCs/>
                <w:szCs w:val="21"/>
              </w:rPr>
              <w:t>序号</w:t>
            </w:r>
          </w:p>
        </w:tc>
        <w:tc>
          <w:tcPr>
            <w:tcW w:w="164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仿宋" w:hAnsi="仿宋" w:eastAsia="仿宋" w:cs="仿宋"/>
                <w:snapToGrid w:val="0"/>
                <w:color w:val="000000"/>
                <w:kern w:val="0"/>
                <w:sz w:val="32"/>
                <w:szCs w:val="32"/>
                <w:vertAlign w:val="baseline"/>
                <w:lang w:val="en-US" w:eastAsia="zh-CN"/>
              </w:rPr>
            </w:pPr>
            <w:r>
              <w:rPr>
                <w:rFonts w:hint="eastAsia" w:ascii="宋体" w:hAnsi="宋体" w:cs="宋体"/>
                <w:b/>
                <w:bCs/>
                <w:szCs w:val="21"/>
              </w:rPr>
              <w:t>预算支出科目</w:t>
            </w:r>
          </w:p>
        </w:tc>
        <w:tc>
          <w:tcPr>
            <w:tcW w:w="120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仿宋" w:hAnsi="仿宋" w:eastAsia="仿宋" w:cs="仿宋"/>
                <w:snapToGrid w:val="0"/>
                <w:color w:val="000000"/>
                <w:kern w:val="0"/>
                <w:sz w:val="32"/>
                <w:szCs w:val="32"/>
                <w:vertAlign w:val="baseline"/>
                <w:lang w:val="en-US" w:eastAsia="zh-CN"/>
              </w:rPr>
            </w:pPr>
            <w:r>
              <w:rPr>
                <w:rFonts w:hint="eastAsia" w:ascii="宋体" w:hAnsi="宋体" w:cs="宋体"/>
                <w:b/>
                <w:bCs/>
                <w:szCs w:val="21"/>
              </w:rPr>
              <w:t>年初预算</w:t>
            </w:r>
          </w:p>
        </w:tc>
        <w:tc>
          <w:tcPr>
            <w:tcW w:w="98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仿宋" w:hAnsi="仿宋" w:eastAsia="仿宋" w:cs="仿宋"/>
                <w:snapToGrid w:val="0"/>
                <w:color w:val="000000"/>
                <w:kern w:val="0"/>
                <w:sz w:val="32"/>
                <w:szCs w:val="32"/>
                <w:vertAlign w:val="baseline"/>
                <w:lang w:val="en-US" w:eastAsia="zh-CN"/>
              </w:rPr>
            </w:pPr>
            <w:r>
              <w:rPr>
                <w:rFonts w:hint="eastAsia" w:ascii="宋体" w:hAnsi="宋体" w:cs="宋体"/>
                <w:b/>
                <w:bCs/>
                <w:szCs w:val="21"/>
              </w:rPr>
              <w:t>年中调增</w:t>
            </w:r>
          </w:p>
        </w:tc>
        <w:tc>
          <w:tcPr>
            <w:tcW w:w="120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仿宋" w:hAnsi="仿宋" w:eastAsia="仿宋" w:cs="仿宋"/>
                <w:snapToGrid w:val="0"/>
                <w:color w:val="000000"/>
                <w:kern w:val="0"/>
                <w:sz w:val="32"/>
                <w:szCs w:val="32"/>
                <w:vertAlign w:val="baseline"/>
                <w:lang w:val="en-US" w:eastAsia="zh-CN"/>
              </w:rPr>
            </w:pPr>
            <w:r>
              <w:rPr>
                <w:rFonts w:hint="eastAsia" w:ascii="宋体" w:hAnsi="宋体" w:cs="宋体"/>
                <w:b/>
                <w:bCs/>
                <w:szCs w:val="21"/>
              </w:rPr>
              <w:t>年末预算</w:t>
            </w:r>
          </w:p>
        </w:tc>
        <w:tc>
          <w:tcPr>
            <w:tcW w:w="120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仿宋" w:hAnsi="仿宋" w:eastAsia="仿宋" w:cs="仿宋"/>
                <w:snapToGrid w:val="0"/>
                <w:color w:val="000000"/>
                <w:kern w:val="0"/>
                <w:sz w:val="32"/>
                <w:szCs w:val="32"/>
                <w:vertAlign w:val="baseline"/>
                <w:lang w:val="en-US" w:eastAsia="zh-CN"/>
              </w:rPr>
            </w:pPr>
            <w:r>
              <w:rPr>
                <w:rFonts w:hint="eastAsia" w:ascii="宋体" w:hAnsi="宋体" w:cs="宋体"/>
                <w:b/>
                <w:bCs/>
                <w:szCs w:val="21"/>
              </w:rPr>
              <w:t>决算支出</w:t>
            </w:r>
          </w:p>
        </w:tc>
        <w:tc>
          <w:tcPr>
            <w:tcW w:w="99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仿宋" w:hAnsi="仿宋" w:eastAsia="仿宋" w:cs="仿宋"/>
                <w:snapToGrid w:val="0"/>
                <w:color w:val="000000"/>
                <w:kern w:val="0"/>
                <w:sz w:val="32"/>
                <w:szCs w:val="32"/>
                <w:vertAlign w:val="baseline"/>
                <w:lang w:val="en-US" w:eastAsia="zh-CN"/>
              </w:rPr>
            </w:pPr>
            <w:r>
              <w:rPr>
                <w:rFonts w:hint="eastAsia" w:ascii="宋体" w:hAnsi="宋体" w:cs="宋体"/>
                <w:b/>
                <w:bCs/>
                <w:szCs w:val="21"/>
              </w:rPr>
              <w:t>本期结余</w:t>
            </w:r>
          </w:p>
        </w:tc>
        <w:tc>
          <w:tcPr>
            <w:tcW w:w="115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仿宋" w:hAnsi="仿宋" w:eastAsia="仿宋" w:cs="仿宋"/>
                <w:snapToGrid w:val="0"/>
                <w:color w:val="000000"/>
                <w:kern w:val="0"/>
                <w:sz w:val="32"/>
                <w:szCs w:val="32"/>
                <w:vertAlign w:val="baseline"/>
                <w:lang w:val="en-US" w:eastAsia="zh-CN"/>
              </w:rPr>
            </w:pPr>
            <w:r>
              <w:rPr>
                <w:rFonts w:hint="eastAsia" w:ascii="宋体" w:hAnsi="宋体" w:cs="宋体"/>
                <w:b/>
                <w:bCs/>
                <w:szCs w:val="21"/>
              </w:rPr>
              <w:t>预算执行率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eastAsia="Arial" w:cs="宋体"/>
                <w:b w:val="0"/>
                <w:bCs w:val="0"/>
                <w:snapToGrid w:val="0"/>
                <w:color w:val="000000"/>
                <w:kern w:val="0"/>
                <w:sz w:val="21"/>
                <w:szCs w:val="21"/>
                <w:lang w:val="en-US" w:eastAsia="zh-CN"/>
              </w:rPr>
            </w:pPr>
            <w:r>
              <w:rPr>
                <w:rFonts w:hint="eastAsia" w:ascii="宋体" w:hAnsi="宋体" w:eastAsia="Arial" w:cs="宋体"/>
                <w:b w:val="0"/>
                <w:bCs w:val="0"/>
                <w:snapToGrid w:val="0"/>
                <w:color w:val="000000"/>
                <w:kern w:val="0"/>
                <w:sz w:val="21"/>
                <w:szCs w:val="21"/>
              </w:rPr>
              <w:t>1</w:t>
            </w:r>
          </w:p>
        </w:tc>
        <w:tc>
          <w:tcPr>
            <w:tcW w:w="1649" w:type="dxa"/>
            <w:vAlign w:val="center"/>
          </w:tcPr>
          <w:p>
            <w:pPr>
              <w:keepNext w:val="0"/>
              <w:keepLines w:val="0"/>
              <w:widowControl/>
              <w:suppressLineNumbers w:val="0"/>
              <w:jc w:val="center"/>
              <w:textAlignment w:val="center"/>
              <w:rPr>
                <w:rFonts w:hint="eastAsia" w:ascii="宋体" w:hAnsi="宋体" w:eastAsia="Arial" w:cs="宋体"/>
                <w:b w:val="0"/>
                <w:bCs w:val="0"/>
                <w:snapToGrid w:val="0"/>
                <w:color w:val="000000"/>
                <w:kern w:val="0"/>
                <w:sz w:val="21"/>
                <w:szCs w:val="21"/>
                <w:lang w:val="en-US" w:eastAsia="zh-CN"/>
              </w:rPr>
            </w:pPr>
            <w:r>
              <w:rPr>
                <w:rFonts w:hint="eastAsia" w:ascii="宋体" w:hAnsi="宋体" w:eastAsia="宋体" w:cs="宋体"/>
                <w:i w:val="0"/>
                <w:iCs w:val="0"/>
                <w:snapToGrid w:val="0"/>
                <w:color w:val="000000"/>
                <w:kern w:val="0"/>
                <w:sz w:val="22"/>
                <w:szCs w:val="22"/>
                <w:u w:val="none"/>
                <w:lang w:val="en-US" w:eastAsia="zh-CN" w:bidi="ar"/>
              </w:rPr>
              <w:t>人员经费</w:t>
            </w:r>
          </w:p>
        </w:tc>
        <w:tc>
          <w:tcPr>
            <w:tcW w:w="1206" w:type="dxa"/>
            <w:vAlign w:val="center"/>
          </w:tcPr>
          <w:p>
            <w:pPr>
              <w:keepNext w:val="0"/>
              <w:keepLines w:val="0"/>
              <w:widowControl/>
              <w:suppressLineNumbers w:val="0"/>
              <w:jc w:val="right"/>
              <w:textAlignment w:val="center"/>
              <w:rPr>
                <w:rFonts w:hint="eastAsia" w:ascii="宋体" w:hAnsi="宋体" w:eastAsia="Arial" w:cs="宋体"/>
                <w:b w:val="0"/>
                <w:bCs w:val="0"/>
                <w:snapToGrid w:val="0"/>
                <w:color w:val="000000"/>
                <w:kern w:val="0"/>
                <w:sz w:val="21"/>
                <w:szCs w:val="21"/>
                <w:lang w:val="en-US" w:eastAsia="zh-CN"/>
              </w:rPr>
            </w:pPr>
            <w:r>
              <w:rPr>
                <w:rFonts w:hint="eastAsia" w:ascii="宋体" w:hAnsi="宋体" w:eastAsia="宋体" w:cs="宋体"/>
                <w:i w:val="0"/>
                <w:iCs w:val="0"/>
                <w:snapToGrid w:val="0"/>
                <w:color w:val="000000"/>
                <w:kern w:val="0"/>
                <w:sz w:val="22"/>
                <w:szCs w:val="22"/>
                <w:u w:val="none"/>
                <w:lang w:val="en-US" w:eastAsia="zh-CN" w:bidi="ar"/>
              </w:rPr>
              <w:t>11,028.43</w:t>
            </w:r>
          </w:p>
        </w:tc>
        <w:tc>
          <w:tcPr>
            <w:tcW w:w="982" w:type="dxa"/>
            <w:vAlign w:val="center"/>
          </w:tcPr>
          <w:p>
            <w:pPr>
              <w:keepNext w:val="0"/>
              <w:keepLines w:val="0"/>
              <w:widowControl/>
              <w:suppressLineNumbers w:val="0"/>
              <w:jc w:val="right"/>
              <w:textAlignment w:val="center"/>
              <w:rPr>
                <w:rFonts w:hint="eastAsia" w:ascii="仿宋" w:hAnsi="仿宋" w:eastAsia="仿宋" w:cs="仿宋"/>
                <w:snapToGrid w:val="0"/>
                <w:color w:val="000000"/>
                <w:kern w:val="0"/>
                <w:sz w:val="32"/>
                <w:szCs w:val="32"/>
                <w:vertAlign w:val="baseline"/>
                <w:lang w:val="en-US" w:eastAsia="zh-CN"/>
              </w:rPr>
            </w:pPr>
            <w:r>
              <w:rPr>
                <w:rFonts w:hint="eastAsia" w:ascii="宋体" w:hAnsi="宋体" w:eastAsia="宋体" w:cs="宋体"/>
                <w:i w:val="0"/>
                <w:iCs w:val="0"/>
                <w:snapToGrid w:val="0"/>
                <w:color w:val="000000"/>
                <w:kern w:val="0"/>
                <w:sz w:val="22"/>
                <w:szCs w:val="22"/>
                <w:u w:val="none"/>
                <w:lang w:val="en-US" w:eastAsia="zh-CN" w:bidi="ar"/>
              </w:rPr>
              <w:t>608.43</w:t>
            </w:r>
          </w:p>
        </w:tc>
        <w:tc>
          <w:tcPr>
            <w:tcW w:w="1206" w:type="dxa"/>
            <w:vAlign w:val="center"/>
          </w:tcPr>
          <w:p>
            <w:pPr>
              <w:keepNext w:val="0"/>
              <w:keepLines w:val="0"/>
              <w:widowControl/>
              <w:suppressLineNumbers w:val="0"/>
              <w:jc w:val="right"/>
              <w:textAlignment w:val="center"/>
              <w:rPr>
                <w:rFonts w:hint="eastAsia" w:ascii="仿宋" w:hAnsi="仿宋" w:eastAsia="仿宋" w:cs="仿宋"/>
                <w:snapToGrid w:val="0"/>
                <w:color w:val="000000"/>
                <w:kern w:val="0"/>
                <w:sz w:val="32"/>
                <w:szCs w:val="32"/>
                <w:vertAlign w:val="baseline"/>
                <w:lang w:val="en-US" w:eastAsia="zh-CN"/>
              </w:rPr>
            </w:pPr>
            <w:r>
              <w:rPr>
                <w:rFonts w:hint="eastAsia" w:ascii="宋体" w:hAnsi="宋体" w:eastAsia="宋体" w:cs="宋体"/>
                <w:i w:val="0"/>
                <w:iCs w:val="0"/>
                <w:snapToGrid w:val="0"/>
                <w:color w:val="000000"/>
                <w:kern w:val="0"/>
                <w:sz w:val="22"/>
                <w:szCs w:val="22"/>
                <w:u w:val="none"/>
                <w:lang w:val="en-US" w:eastAsia="zh-CN" w:bidi="ar"/>
              </w:rPr>
              <w:t>11,636.86</w:t>
            </w:r>
          </w:p>
        </w:tc>
        <w:tc>
          <w:tcPr>
            <w:tcW w:w="1206" w:type="dxa"/>
            <w:vAlign w:val="center"/>
          </w:tcPr>
          <w:p>
            <w:pPr>
              <w:keepNext w:val="0"/>
              <w:keepLines w:val="0"/>
              <w:widowControl/>
              <w:suppressLineNumbers w:val="0"/>
              <w:jc w:val="right"/>
              <w:textAlignment w:val="center"/>
              <w:rPr>
                <w:rFonts w:hint="eastAsia" w:ascii="仿宋" w:hAnsi="仿宋" w:eastAsia="仿宋" w:cs="仿宋"/>
                <w:snapToGrid w:val="0"/>
                <w:color w:val="000000"/>
                <w:kern w:val="0"/>
                <w:sz w:val="32"/>
                <w:szCs w:val="32"/>
                <w:vertAlign w:val="baseline"/>
                <w:lang w:val="en-US" w:eastAsia="zh-CN"/>
              </w:rPr>
            </w:pPr>
            <w:r>
              <w:rPr>
                <w:rFonts w:hint="eastAsia" w:ascii="宋体" w:hAnsi="宋体" w:eastAsia="宋体" w:cs="宋体"/>
                <w:i w:val="0"/>
                <w:iCs w:val="0"/>
                <w:snapToGrid w:val="0"/>
                <w:color w:val="000000"/>
                <w:kern w:val="0"/>
                <w:sz w:val="22"/>
                <w:szCs w:val="22"/>
                <w:u w:val="none"/>
                <w:lang w:val="en-US" w:eastAsia="zh-CN" w:bidi="ar"/>
              </w:rPr>
              <w:t>12,586.88</w:t>
            </w:r>
          </w:p>
        </w:tc>
        <w:tc>
          <w:tcPr>
            <w:tcW w:w="994" w:type="dxa"/>
            <w:vAlign w:val="center"/>
          </w:tcPr>
          <w:p>
            <w:pPr>
              <w:keepNext w:val="0"/>
              <w:keepLines w:val="0"/>
              <w:widowControl/>
              <w:suppressLineNumbers w:val="0"/>
              <w:jc w:val="right"/>
              <w:textAlignment w:val="center"/>
              <w:rPr>
                <w:rFonts w:hint="default"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-950.02</w:t>
            </w:r>
          </w:p>
        </w:tc>
        <w:tc>
          <w:tcPr>
            <w:tcW w:w="1154" w:type="dxa"/>
            <w:vAlign w:val="center"/>
          </w:tcPr>
          <w:p>
            <w:pPr>
              <w:keepNext w:val="0"/>
              <w:keepLines w:val="0"/>
              <w:widowControl/>
              <w:suppressLineNumbers w:val="0"/>
              <w:jc w:val="right"/>
              <w:textAlignment w:val="center"/>
              <w:rPr>
                <w:rFonts w:hint="default"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108.16%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eastAsia="Arial" w:cs="宋体"/>
                <w:b w:val="0"/>
                <w:bCs w:val="0"/>
                <w:snapToGrid w:val="0"/>
                <w:color w:val="000000"/>
                <w:kern w:val="0"/>
                <w:sz w:val="21"/>
                <w:szCs w:val="21"/>
                <w:lang w:val="en-US" w:eastAsia="zh-CN"/>
              </w:rPr>
            </w:pPr>
            <w:r>
              <w:rPr>
                <w:rFonts w:hint="eastAsia" w:ascii="宋体" w:hAnsi="宋体" w:eastAsia="Arial" w:cs="宋体"/>
                <w:b w:val="0"/>
                <w:bCs w:val="0"/>
                <w:snapToGrid w:val="0"/>
                <w:color w:val="000000"/>
                <w:kern w:val="0"/>
                <w:sz w:val="21"/>
                <w:szCs w:val="21"/>
              </w:rPr>
              <w:t>2</w:t>
            </w:r>
          </w:p>
        </w:tc>
        <w:tc>
          <w:tcPr>
            <w:tcW w:w="1649" w:type="dxa"/>
            <w:vAlign w:val="center"/>
          </w:tcPr>
          <w:p>
            <w:pPr>
              <w:keepNext w:val="0"/>
              <w:keepLines w:val="0"/>
              <w:widowControl/>
              <w:suppressLineNumbers w:val="0"/>
              <w:jc w:val="center"/>
              <w:textAlignment w:val="center"/>
              <w:rPr>
                <w:rFonts w:hint="eastAsia" w:ascii="宋体" w:hAnsi="宋体" w:eastAsia="Arial" w:cs="宋体"/>
                <w:b w:val="0"/>
                <w:bCs w:val="0"/>
                <w:snapToGrid w:val="0"/>
                <w:color w:val="000000"/>
                <w:kern w:val="0"/>
                <w:sz w:val="21"/>
                <w:szCs w:val="21"/>
                <w:lang w:val="en-US" w:eastAsia="zh-CN"/>
              </w:rPr>
            </w:pPr>
            <w:r>
              <w:rPr>
                <w:rFonts w:hint="eastAsia" w:ascii="宋体" w:hAnsi="宋体" w:eastAsia="宋体" w:cs="宋体"/>
                <w:i w:val="0"/>
                <w:iCs w:val="0"/>
                <w:snapToGrid w:val="0"/>
                <w:color w:val="000000"/>
                <w:kern w:val="0"/>
                <w:sz w:val="22"/>
                <w:szCs w:val="22"/>
                <w:u w:val="none"/>
                <w:lang w:val="en-US" w:eastAsia="zh-CN" w:bidi="ar"/>
              </w:rPr>
              <w:t>公用经费</w:t>
            </w:r>
          </w:p>
        </w:tc>
        <w:tc>
          <w:tcPr>
            <w:tcW w:w="1206" w:type="dxa"/>
            <w:vAlign w:val="center"/>
          </w:tcPr>
          <w:p>
            <w:pPr>
              <w:keepNext w:val="0"/>
              <w:keepLines w:val="0"/>
              <w:widowControl/>
              <w:suppressLineNumbers w:val="0"/>
              <w:jc w:val="right"/>
              <w:textAlignment w:val="center"/>
              <w:rPr>
                <w:rFonts w:hint="eastAsia" w:ascii="宋体" w:hAnsi="宋体" w:eastAsia="Arial" w:cs="宋体"/>
                <w:b w:val="0"/>
                <w:bCs w:val="0"/>
                <w:snapToGrid w:val="0"/>
                <w:color w:val="000000"/>
                <w:kern w:val="0"/>
                <w:sz w:val="21"/>
                <w:szCs w:val="21"/>
                <w:lang w:val="en-US" w:eastAsia="zh-CN"/>
              </w:rPr>
            </w:pPr>
            <w:r>
              <w:rPr>
                <w:rFonts w:hint="eastAsia" w:ascii="宋体" w:hAnsi="宋体" w:eastAsia="宋体" w:cs="宋体"/>
                <w:i w:val="0"/>
                <w:iCs w:val="0"/>
                <w:snapToGrid w:val="0"/>
                <w:color w:val="000000"/>
                <w:kern w:val="0"/>
                <w:sz w:val="22"/>
                <w:szCs w:val="22"/>
                <w:u w:val="none"/>
                <w:lang w:val="en-US" w:eastAsia="zh-CN" w:bidi="ar"/>
              </w:rPr>
              <w:t>513.44</w:t>
            </w:r>
          </w:p>
        </w:tc>
        <w:tc>
          <w:tcPr>
            <w:tcW w:w="982" w:type="dxa"/>
            <w:vAlign w:val="center"/>
          </w:tcPr>
          <w:p>
            <w:pPr>
              <w:keepNext w:val="0"/>
              <w:keepLines w:val="0"/>
              <w:widowControl/>
              <w:suppressLineNumbers w:val="0"/>
              <w:jc w:val="right"/>
              <w:textAlignment w:val="center"/>
              <w:rPr>
                <w:rFonts w:hint="eastAsia" w:ascii="宋体" w:hAnsi="宋体" w:eastAsia="宋体" w:cs="宋体"/>
                <w:i w:val="0"/>
                <w:iCs w:val="0"/>
                <w:snapToGrid w:val="0"/>
                <w:color w:val="000000"/>
                <w:kern w:val="0"/>
                <w:sz w:val="22"/>
                <w:szCs w:val="22"/>
                <w:u w:val="none"/>
                <w:lang w:val="en-US" w:eastAsia="zh-CN"/>
              </w:rPr>
            </w:pPr>
            <w:r>
              <w:rPr>
                <w:rFonts w:hint="eastAsia" w:ascii="宋体" w:hAnsi="宋体" w:eastAsia="宋体" w:cs="宋体"/>
                <w:i w:val="0"/>
                <w:iCs w:val="0"/>
                <w:snapToGrid w:val="0"/>
                <w:color w:val="000000"/>
                <w:kern w:val="0"/>
                <w:sz w:val="22"/>
                <w:szCs w:val="22"/>
                <w:u w:val="none"/>
                <w:lang w:val="en-US" w:eastAsia="zh-CN" w:bidi="ar"/>
              </w:rPr>
              <w:t>12.10</w:t>
            </w:r>
          </w:p>
        </w:tc>
        <w:tc>
          <w:tcPr>
            <w:tcW w:w="1206" w:type="dxa"/>
            <w:vAlign w:val="center"/>
          </w:tcPr>
          <w:p>
            <w:pPr>
              <w:keepNext w:val="0"/>
              <w:keepLines w:val="0"/>
              <w:widowControl/>
              <w:suppressLineNumbers w:val="0"/>
              <w:jc w:val="right"/>
              <w:textAlignment w:val="center"/>
              <w:rPr>
                <w:rFonts w:hint="eastAsia" w:ascii="仿宋" w:hAnsi="仿宋" w:eastAsia="仿宋" w:cs="仿宋"/>
                <w:snapToGrid w:val="0"/>
                <w:color w:val="000000"/>
                <w:kern w:val="0"/>
                <w:sz w:val="32"/>
                <w:szCs w:val="32"/>
                <w:vertAlign w:val="baseline"/>
                <w:lang w:val="en-US" w:eastAsia="zh-CN"/>
              </w:rPr>
            </w:pPr>
            <w:r>
              <w:rPr>
                <w:rFonts w:hint="eastAsia" w:ascii="宋体" w:hAnsi="宋体" w:eastAsia="宋体" w:cs="宋体"/>
                <w:i w:val="0"/>
                <w:iCs w:val="0"/>
                <w:snapToGrid w:val="0"/>
                <w:color w:val="000000"/>
                <w:kern w:val="0"/>
                <w:sz w:val="22"/>
                <w:szCs w:val="22"/>
                <w:u w:val="none"/>
                <w:lang w:val="en-US" w:eastAsia="zh-CN" w:bidi="ar"/>
              </w:rPr>
              <w:t>525.54</w:t>
            </w:r>
          </w:p>
        </w:tc>
        <w:tc>
          <w:tcPr>
            <w:tcW w:w="1206" w:type="dxa"/>
            <w:vAlign w:val="center"/>
          </w:tcPr>
          <w:p>
            <w:pPr>
              <w:keepNext w:val="0"/>
              <w:keepLines w:val="0"/>
              <w:widowControl/>
              <w:suppressLineNumbers w:val="0"/>
              <w:jc w:val="right"/>
              <w:textAlignment w:val="center"/>
              <w:rPr>
                <w:rFonts w:hint="eastAsia" w:ascii="仿宋" w:hAnsi="仿宋" w:eastAsia="仿宋" w:cs="仿宋"/>
                <w:snapToGrid w:val="0"/>
                <w:color w:val="000000"/>
                <w:kern w:val="0"/>
                <w:sz w:val="32"/>
                <w:szCs w:val="32"/>
                <w:vertAlign w:val="baseline"/>
                <w:lang w:val="en-US" w:eastAsia="zh-CN"/>
              </w:rPr>
            </w:pPr>
            <w:r>
              <w:rPr>
                <w:rFonts w:hint="eastAsia" w:ascii="宋体" w:hAnsi="宋体" w:eastAsia="宋体" w:cs="宋体"/>
                <w:i w:val="0"/>
                <w:iCs w:val="0"/>
                <w:snapToGrid w:val="0"/>
                <w:color w:val="000000"/>
                <w:kern w:val="0"/>
                <w:sz w:val="22"/>
                <w:szCs w:val="22"/>
                <w:u w:val="none"/>
                <w:lang w:val="en-US" w:eastAsia="zh-CN" w:bidi="ar"/>
              </w:rPr>
              <w:t>3,482.58</w:t>
            </w:r>
          </w:p>
        </w:tc>
        <w:tc>
          <w:tcPr>
            <w:tcW w:w="994" w:type="dxa"/>
            <w:vAlign w:val="center"/>
          </w:tcPr>
          <w:p>
            <w:pPr>
              <w:keepNext w:val="0"/>
              <w:keepLines w:val="0"/>
              <w:widowControl/>
              <w:suppressLineNumbers w:val="0"/>
              <w:jc w:val="right"/>
              <w:textAlignment w:val="center"/>
              <w:rPr>
                <w:rFonts w:hint="default"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-2,957.04</w:t>
            </w:r>
          </w:p>
        </w:tc>
        <w:tc>
          <w:tcPr>
            <w:tcW w:w="1154" w:type="dxa"/>
            <w:vAlign w:val="center"/>
          </w:tcPr>
          <w:p>
            <w:pPr>
              <w:keepNext w:val="0"/>
              <w:keepLines w:val="0"/>
              <w:widowControl/>
              <w:suppressLineNumbers w:val="0"/>
              <w:jc w:val="right"/>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662.67%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1"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Arial" w:cs="宋体"/>
                <w:b w:val="0"/>
                <w:bCs w:val="0"/>
                <w:snapToGrid w:val="0"/>
                <w:color w:val="000000"/>
                <w:kern w:val="0"/>
                <w:sz w:val="21"/>
                <w:szCs w:val="21"/>
                <w:lang w:val="en-US" w:eastAsia="zh-CN"/>
              </w:rPr>
            </w:pPr>
          </w:p>
        </w:tc>
        <w:tc>
          <w:tcPr>
            <w:tcW w:w="164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default" w:ascii="宋体" w:hAnsi="宋体" w:eastAsia="Arial" w:cs="宋体"/>
                <w:b w:val="0"/>
                <w:bCs w:val="0"/>
                <w:snapToGrid w:val="0"/>
                <w:color w:val="000000"/>
                <w:kern w:val="0"/>
                <w:sz w:val="21"/>
                <w:szCs w:val="21"/>
                <w:lang w:val="en-US" w:eastAsia="zh-CN"/>
              </w:rPr>
            </w:pPr>
            <w:r>
              <w:rPr>
                <w:rFonts w:hint="eastAsia" w:ascii="宋体" w:hAnsi="宋体" w:eastAsia="Arial" w:cs="宋体"/>
                <w:b w:val="0"/>
                <w:bCs w:val="0"/>
                <w:snapToGrid w:val="0"/>
                <w:color w:val="000000"/>
                <w:kern w:val="0"/>
                <w:sz w:val="21"/>
                <w:szCs w:val="21"/>
                <w:lang w:val="en-US" w:eastAsia="zh-CN"/>
              </w:rPr>
              <w:t>小计</w:t>
            </w:r>
          </w:p>
        </w:tc>
        <w:tc>
          <w:tcPr>
            <w:tcW w:w="1206" w:type="dxa"/>
            <w:vAlign w:val="center"/>
          </w:tcPr>
          <w:p>
            <w:pPr>
              <w:keepNext w:val="0"/>
              <w:keepLines w:val="0"/>
              <w:widowControl/>
              <w:suppressLineNumbers w:val="0"/>
              <w:jc w:val="right"/>
              <w:textAlignment w:val="center"/>
              <w:rPr>
                <w:rFonts w:hint="eastAsia" w:ascii="宋体" w:hAnsi="宋体" w:eastAsia="宋体" w:cs="宋体"/>
                <w:i w:val="0"/>
                <w:iCs w:val="0"/>
                <w:snapToGrid w:val="0"/>
                <w:color w:val="000000"/>
                <w:kern w:val="0"/>
                <w:sz w:val="22"/>
                <w:szCs w:val="22"/>
                <w:u w:val="none"/>
                <w:lang w:val="en-US" w:eastAsia="zh-CN"/>
              </w:rPr>
            </w:pPr>
            <w:r>
              <w:rPr>
                <w:rFonts w:hint="eastAsia" w:ascii="宋体" w:hAnsi="宋体" w:eastAsia="宋体" w:cs="宋体"/>
                <w:i w:val="0"/>
                <w:iCs w:val="0"/>
                <w:snapToGrid w:val="0"/>
                <w:color w:val="000000"/>
                <w:kern w:val="0"/>
                <w:sz w:val="22"/>
                <w:szCs w:val="22"/>
                <w:u w:val="none"/>
                <w:lang w:val="en-US" w:eastAsia="zh-CN" w:bidi="ar"/>
              </w:rPr>
              <w:t>11,541.87</w:t>
            </w:r>
          </w:p>
        </w:tc>
        <w:tc>
          <w:tcPr>
            <w:tcW w:w="982" w:type="dxa"/>
            <w:vAlign w:val="center"/>
          </w:tcPr>
          <w:p>
            <w:pPr>
              <w:keepNext w:val="0"/>
              <w:keepLines w:val="0"/>
              <w:widowControl/>
              <w:suppressLineNumbers w:val="0"/>
              <w:jc w:val="right"/>
              <w:textAlignment w:val="center"/>
              <w:rPr>
                <w:rFonts w:hint="eastAsia" w:ascii="宋体" w:hAnsi="宋体" w:eastAsia="宋体" w:cs="宋体"/>
                <w:i w:val="0"/>
                <w:iCs w:val="0"/>
                <w:snapToGrid w:val="0"/>
                <w:color w:val="000000"/>
                <w:kern w:val="0"/>
                <w:sz w:val="22"/>
                <w:szCs w:val="22"/>
                <w:u w:val="none"/>
                <w:lang w:val="en-US" w:eastAsia="zh-CN"/>
              </w:rPr>
            </w:pPr>
            <w:r>
              <w:rPr>
                <w:rFonts w:hint="eastAsia" w:ascii="宋体" w:hAnsi="宋体" w:eastAsia="宋体" w:cs="宋体"/>
                <w:i w:val="0"/>
                <w:iCs w:val="0"/>
                <w:snapToGrid w:val="0"/>
                <w:color w:val="000000"/>
                <w:kern w:val="0"/>
                <w:sz w:val="22"/>
                <w:szCs w:val="22"/>
                <w:u w:val="none"/>
                <w:lang w:val="en-US" w:eastAsia="zh-CN" w:bidi="ar"/>
              </w:rPr>
              <w:t>620.53</w:t>
            </w:r>
          </w:p>
        </w:tc>
        <w:tc>
          <w:tcPr>
            <w:tcW w:w="1206" w:type="dxa"/>
            <w:vAlign w:val="center"/>
          </w:tcPr>
          <w:p>
            <w:pPr>
              <w:keepNext w:val="0"/>
              <w:keepLines w:val="0"/>
              <w:widowControl/>
              <w:suppressLineNumbers w:val="0"/>
              <w:jc w:val="right"/>
              <w:textAlignment w:val="center"/>
              <w:rPr>
                <w:rFonts w:hint="eastAsia" w:ascii="仿宋" w:hAnsi="仿宋" w:eastAsia="仿宋" w:cs="仿宋"/>
                <w:snapToGrid w:val="0"/>
                <w:color w:val="000000"/>
                <w:kern w:val="0"/>
                <w:sz w:val="32"/>
                <w:szCs w:val="32"/>
                <w:vertAlign w:val="baseline"/>
                <w:lang w:val="en-US" w:eastAsia="zh-CN"/>
              </w:rPr>
            </w:pPr>
            <w:r>
              <w:rPr>
                <w:rFonts w:hint="eastAsia" w:ascii="宋体" w:hAnsi="宋体" w:eastAsia="宋体" w:cs="宋体"/>
                <w:i w:val="0"/>
                <w:iCs w:val="0"/>
                <w:snapToGrid w:val="0"/>
                <w:color w:val="000000"/>
                <w:kern w:val="0"/>
                <w:sz w:val="22"/>
                <w:szCs w:val="22"/>
                <w:u w:val="none"/>
                <w:lang w:val="en-US" w:eastAsia="zh-CN" w:bidi="ar"/>
              </w:rPr>
              <w:t>12,162.40</w:t>
            </w:r>
          </w:p>
        </w:tc>
        <w:tc>
          <w:tcPr>
            <w:tcW w:w="1206" w:type="dxa"/>
            <w:vAlign w:val="center"/>
          </w:tcPr>
          <w:p>
            <w:pPr>
              <w:keepNext w:val="0"/>
              <w:keepLines w:val="0"/>
              <w:widowControl/>
              <w:suppressLineNumbers w:val="0"/>
              <w:jc w:val="right"/>
              <w:textAlignment w:val="center"/>
              <w:rPr>
                <w:rFonts w:hint="eastAsia" w:ascii="宋体" w:hAnsi="宋体" w:eastAsia="宋体" w:cs="宋体"/>
                <w:i w:val="0"/>
                <w:iCs w:val="0"/>
                <w:snapToGrid w:val="0"/>
                <w:color w:val="000000"/>
                <w:kern w:val="0"/>
                <w:sz w:val="22"/>
                <w:szCs w:val="22"/>
                <w:u w:val="none"/>
                <w:lang w:val="en-US" w:eastAsia="zh-CN"/>
              </w:rPr>
            </w:pPr>
            <w:r>
              <w:rPr>
                <w:rFonts w:hint="eastAsia" w:ascii="宋体" w:hAnsi="宋体" w:eastAsia="宋体" w:cs="宋体"/>
                <w:i w:val="0"/>
                <w:iCs w:val="0"/>
                <w:snapToGrid w:val="0"/>
                <w:color w:val="000000"/>
                <w:kern w:val="0"/>
                <w:sz w:val="22"/>
                <w:szCs w:val="22"/>
                <w:u w:val="none"/>
                <w:lang w:val="en-US" w:eastAsia="zh-CN" w:bidi="ar"/>
              </w:rPr>
              <w:t>16,069.46</w:t>
            </w:r>
          </w:p>
        </w:tc>
        <w:tc>
          <w:tcPr>
            <w:tcW w:w="994" w:type="dxa"/>
            <w:vAlign w:val="center"/>
          </w:tcPr>
          <w:p>
            <w:pPr>
              <w:keepNext w:val="0"/>
              <w:keepLines w:val="0"/>
              <w:widowControl/>
              <w:suppressLineNumbers w:val="0"/>
              <w:jc w:val="right"/>
              <w:textAlignment w:val="center"/>
              <w:rPr>
                <w:rFonts w:hint="default"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-3,907.06</w:t>
            </w:r>
          </w:p>
        </w:tc>
        <w:tc>
          <w:tcPr>
            <w:tcW w:w="1154" w:type="dxa"/>
            <w:vAlign w:val="center"/>
          </w:tcPr>
          <w:p>
            <w:pPr>
              <w:keepNext w:val="0"/>
              <w:keepLines w:val="0"/>
              <w:widowControl/>
              <w:suppressLineNumbers w:val="0"/>
              <w:jc w:val="right"/>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132.12%</w:t>
            </w:r>
          </w:p>
        </w:tc>
      </w:tr>
    </w:tbl>
    <w:p>
      <w:pPr>
        <w:pStyle w:val="3"/>
        <w:keepNext w:val="0"/>
        <w:keepLines w:val="0"/>
        <w:pageBreakBefore w:val="0"/>
        <w:widowControl/>
        <w:kinsoku w:val="0"/>
        <w:wordWrap/>
        <w:overflowPunct/>
        <w:topLinePunct w:val="0"/>
        <w:autoSpaceDE w:val="0"/>
        <w:autoSpaceDN w:val="0"/>
        <w:bidi w:val="0"/>
        <w:adjustRightInd w:val="0"/>
        <w:snapToGrid w:val="0"/>
        <w:spacing w:before="157" w:beforeLines="50"/>
        <w:ind w:firstLine="640" w:firstLineChars="200"/>
        <w:jc w:val="both"/>
        <w:textAlignment w:val="baseline"/>
        <w:rPr>
          <w:rFonts w:hint="eastAsia"/>
          <w:lang w:val="en-US" w:eastAsia="zh-CN"/>
        </w:rPr>
      </w:pPr>
      <w:r>
        <w:rPr>
          <w:rFonts w:hint="eastAsia"/>
          <w:lang w:val="en-US" w:eastAsia="zh-CN"/>
        </w:rPr>
        <w:t>由表一可知，人员经费支出</w:t>
      </w:r>
      <w:r>
        <w:rPr>
          <w:rFonts w:hint="eastAsia" w:ascii="仿宋" w:hAnsi="仿宋" w:eastAsia="仿宋" w:cs="仿宋"/>
          <w:snapToGrid w:val="0"/>
          <w:color w:val="000000" w:themeColor="text1"/>
          <w:kern w:val="0"/>
          <w:sz w:val="32"/>
          <w:szCs w:val="32"/>
          <w:lang w:val="en-US" w:eastAsia="zh-CN"/>
          <w14:textFill>
            <w14:solidFill>
              <w14:schemeClr w14:val="tx1"/>
            </w14:solidFill>
          </w14:textFill>
        </w:rPr>
        <w:t>12,586.88</w:t>
      </w:r>
      <w:r>
        <w:rPr>
          <w:rFonts w:hint="eastAsia"/>
          <w:lang w:val="en-US" w:eastAsia="zh-CN"/>
        </w:rPr>
        <w:t>万元。主要用于在职人员、退休人员相关福利待遇，包括基本工资、津贴补贴、绩效工资、奖金、社会保障缴费、住房公积金等。</w:t>
      </w:r>
    </w:p>
    <w:p>
      <w:pPr>
        <w:pStyle w:val="3"/>
        <w:keepNext w:val="0"/>
        <w:keepLines w:val="0"/>
        <w:pageBreakBefore w:val="0"/>
        <w:widowControl/>
        <w:kinsoku w:val="0"/>
        <w:wordWrap/>
        <w:overflowPunct/>
        <w:topLinePunct w:val="0"/>
        <w:autoSpaceDE w:val="0"/>
        <w:autoSpaceDN w:val="0"/>
        <w:bidi w:val="0"/>
        <w:adjustRightInd w:val="0"/>
        <w:snapToGrid w:val="0"/>
        <w:ind w:firstLine="640" w:firstLineChars="200"/>
        <w:jc w:val="both"/>
        <w:textAlignment w:val="baseline"/>
        <w:rPr>
          <w:rFonts w:hint="eastAsia"/>
          <w:lang w:val="en-US" w:eastAsia="zh-CN"/>
        </w:rPr>
      </w:pPr>
      <w:r>
        <w:rPr>
          <w:rFonts w:hint="eastAsia"/>
          <w:lang w:val="en-US" w:eastAsia="zh-CN"/>
        </w:rPr>
        <w:t>公用经费支出</w:t>
      </w:r>
      <w:r>
        <w:rPr>
          <w:rFonts w:hint="eastAsia" w:ascii="仿宋" w:hAnsi="仿宋" w:eastAsia="仿宋" w:cs="仿宋"/>
          <w:snapToGrid w:val="0"/>
          <w:color w:val="000000" w:themeColor="text1"/>
          <w:kern w:val="0"/>
          <w:sz w:val="32"/>
          <w:szCs w:val="32"/>
          <w:lang w:val="en-US" w:eastAsia="zh-CN"/>
          <w14:textFill>
            <w14:solidFill>
              <w14:schemeClr w14:val="tx1"/>
            </w14:solidFill>
          </w14:textFill>
        </w:rPr>
        <w:t>3,482.58</w:t>
      </w:r>
      <w:r>
        <w:rPr>
          <w:rFonts w:hint="eastAsia"/>
          <w:lang w:val="en-US" w:eastAsia="zh-CN"/>
        </w:rPr>
        <w:t>万元，主要用于保障技师学院基本运行而发生各项费用，包括水费、电费、培训费、物业管理费、邮电费、劳务费、“三公”经费、其他交通费用、工会经费等。</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321" w:firstLineChars="100"/>
        <w:jc w:val="both"/>
        <w:textAlignment w:val="baseline"/>
        <w:rPr>
          <w:rFonts w:hint="eastAsia" w:ascii="仿宋" w:hAnsi="仿宋" w:eastAsia="仿宋" w:cs="仿宋"/>
          <w:b/>
          <w:bCs/>
          <w:snapToGrid w:val="0"/>
          <w:color w:val="000000" w:themeColor="text1"/>
          <w:kern w:val="0"/>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kern w:val="0"/>
          <w:sz w:val="32"/>
          <w:szCs w:val="32"/>
          <w:highlight w:val="none"/>
          <w:lang w:val="en-US" w:eastAsia="zh-CN"/>
          <w14:textFill>
            <w14:solidFill>
              <w14:schemeClr w14:val="tx1"/>
            </w14:solidFill>
          </w14:textFill>
        </w:rPr>
        <w:t xml:space="preserve">（二）“三公”经费 </w:t>
      </w:r>
    </w:p>
    <w:p>
      <w:pPr>
        <w:pStyle w:val="3"/>
        <w:keepNext w:val="0"/>
        <w:keepLines w:val="0"/>
        <w:pageBreakBefore w:val="0"/>
        <w:widowControl/>
        <w:kinsoku w:val="0"/>
        <w:wordWrap/>
        <w:overflowPunct/>
        <w:topLinePunct w:val="0"/>
        <w:autoSpaceDE w:val="0"/>
        <w:autoSpaceDN w:val="0"/>
        <w:bidi w:val="0"/>
        <w:adjustRightInd w:val="0"/>
        <w:snapToGrid w:val="0"/>
        <w:ind w:firstLine="640" w:firstLineChars="200"/>
        <w:jc w:val="both"/>
        <w:textAlignment w:val="baseline"/>
        <w:rPr>
          <w:rFonts w:hint="eastAsia"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2022年</w:t>
      </w:r>
      <w:r>
        <w:rPr>
          <w:rFonts w:hint="eastAsia" w:ascii="仿宋_GB2312" w:hAnsi="仿宋_GB2312" w:cs="仿宋_GB2312"/>
          <w:snapToGrid w:val="0"/>
          <w:color w:val="auto"/>
          <w:kern w:val="0"/>
          <w:sz w:val="32"/>
          <w:szCs w:val="32"/>
          <w:highlight w:val="none"/>
          <w:lang w:val="en-US" w:eastAsia="zh-CN"/>
        </w:rPr>
        <w:t>技师学院</w:t>
      </w:r>
      <w:r>
        <w:rPr>
          <w:rFonts w:hint="eastAsia" w:ascii="仿宋_GB2312" w:hAnsi="仿宋_GB2312" w:eastAsia="仿宋_GB2312" w:cs="仿宋_GB2312"/>
          <w:snapToGrid w:val="0"/>
          <w:color w:val="auto"/>
          <w:kern w:val="0"/>
          <w:sz w:val="32"/>
          <w:szCs w:val="32"/>
          <w:highlight w:val="none"/>
          <w:lang w:val="en-US" w:eastAsia="zh-CN"/>
        </w:rPr>
        <w:t>“三公”经费支出</w:t>
      </w:r>
      <w:r>
        <w:rPr>
          <w:rFonts w:hint="eastAsia" w:ascii="仿宋_GB2312" w:hAnsi="仿宋_GB2312" w:cs="仿宋_GB2312"/>
          <w:snapToGrid w:val="0"/>
          <w:color w:val="auto"/>
          <w:kern w:val="0"/>
          <w:sz w:val="32"/>
          <w:szCs w:val="32"/>
          <w:highlight w:val="none"/>
          <w:lang w:val="en-US" w:eastAsia="zh-CN"/>
        </w:rPr>
        <w:t>52</w:t>
      </w:r>
      <w:r>
        <w:rPr>
          <w:rFonts w:hint="eastAsia" w:ascii="仿宋_GB2312" w:hAnsi="仿宋_GB2312" w:eastAsia="仿宋_GB2312" w:cs="仿宋_GB2312"/>
          <w:snapToGrid w:val="0"/>
          <w:color w:val="auto"/>
          <w:kern w:val="0"/>
          <w:sz w:val="32"/>
          <w:szCs w:val="32"/>
          <w:highlight w:val="none"/>
          <w:lang w:val="en-US" w:eastAsia="zh-CN"/>
        </w:rPr>
        <w:t>.</w:t>
      </w:r>
      <w:r>
        <w:rPr>
          <w:rFonts w:hint="eastAsia" w:ascii="仿宋_GB2312" w:hAnsi="仿宋_GB2312" w:cs="仿宋_GB2312"/>
          <w:snapToGrid w:val="0"/>
          <w:color w:val="auto"/>
          <w:kern w:val="0"/>
          <w:sz w:val="32"/>
          <w:szCs w:val="32"/>
          <w:highlight w:val="none"/>
          <w:lang w:val="en-US" w:eastAsia="zh-CN"/>
        </w:rPr>
        <w:t>80</w:t>
      </w:r>
      <w:r>
        <w:rPr>
          <w:rFonts w:hint="eastAsia" w:ascii="仿宋_GB2312" w:hAnsi="仿宋_GB2312" w:eastAsia="仿宋_GB2312" w:cs="仿宋_GB2312"/>
          <w:snapToGrid w:val="0"/>
          <w:color w:val="auto"/>
          <w:kern w:val="0"/>
          <w:sz w:val="32"/>
          <w:szCs w:val="32"/>
          <w:highlight w:val="none"/>
          <w:lang w:val="en-US" w:eastAsia="zh-CN"/>
        </w:rPr>
        <w:t>万元，其中：公务用车购置费</w:t>
      </w:r>
      <w:r>
        <w:rPr>
          <w:rFonts w:hint="eastAsia" w:ascii="仿宋_GB2312" w:hAnsi="仿宋_GB2312" w:cs="仿宋_GB2312"/>
          <w:snapToGrid w:val="0"/>
          <w:color w:val="auto"/>
          <w:kern w:val="0"/>
          <w:sz w:val="32"/>
          <w:szCs w:val="32"/>
          <w:highlight w:val="none"/>
          <w:lang w:val="en-US" w:eastAsia="zh-CN"/>
        </w:rPr>
        <w:t>19.12万元，</w:t>
      </w:r>
      <w:r>
        <w:rPr>
          <w:rFonts w:hint="eastAsia" w:ascii="仿宋_GB2312" w:hAnsi="仿宋_GB2312" w:eastAsia="仿宋_GB2312" w:cs="仿宋_GB2312"/>
          <w:snapToGrid w:val="0"/>
          <w:color w:val="auto"/>
          <w:kern w:val="0"/>
          <w:sz w:val="32"/>
          <w:szCs w:val="32"/>
          <w:highlight w:val="none"/>
          <w:lang w:val="en-US" w:eastAsia="zh-CN"/>
        </w:rPr>
        <w:t>公务用车运行维护费22.23万元、公务接待费11.44万元、因公出国（境）费0.00万元。</w:t>
      </w:r>
    </w:p>
    <w:p>
      <w:pPr>
        <w:pStyle w:val="3"/>
        <w:keepNext w:val="0"/>
        <w:keepLines w:val="0"/>
        <w:pageBreakBefore w:val="0"/>
        <w:widowControl/>
        <w:kinsoku w:val="0"/>
        <w:wordWrap/>
        <w:overflowPunct/>
        <w:topLinePunct w:val="0"/>
        <w:autoSpaceDE w:val="0"/>
        <w:autoSpaceDN w:val="0"/>
        <w:bidi w:val="0"/>
        <w:adjustRightInd w:val="0"/>
        <w:snapToGrid w:val="0"/>
        <w:ind w:firstLine="640" w:firstLineChars="200"/>
        <w:jc w:val="both"/>
        <w:textAlignment w:val="baseline"/>
        <w:rPr>
          <w:rFonts w:hint="eastAsia"/>
          <w:highlight w:val="none"/>
          <w:lang w:val="en-US" w:eastAsia="zh-CN"/>
        </w:rPr>
      </w:pPr>
      <w:r>
        <w:rPr>
          <w:rFonts w:hint="eastAsia"/>
          <w:highlight w:val="none"/>
          <w:lang w:val="en-US" w:eastAsia="zh-CN"/>
        </w:rPr>
        <w:t>表二：“三公”经费预决算对比表（单位：万元）</w:t>
      </w:r>
    </w:p>
    <w:tbl>
      <w:tblPr>
        <w:tblStyle w:val="10"/>
        <w:tblpPr w:leftFromText="181" w:rightFromText="181" w:vertAnchor="text" w:horzAnchor="page" w:tblpX="1883"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0"/>
        <w:gridCol w:w="1364"/>
        <w:gridCol w:w="879"/>
        <w:gridCol w:w="919"/>
        <w:gridCol w:w="933"/>
        <w:gridCol w:w="957"/>
        <w:gridCol w:w="1056"/>
        <w:gridCol w:w="933"/>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highlight w:val="none"/>
                <w:vertAlign w:val="baseline"/>
                <w:lang w:val="en-US" w:eastAsia="zh-CN"/>
              </w:rPr>
            </w:pPr>
            <w:r>
              <w:rPr>
                <w:rFonts w:hint="eastAsia" w:ascii="宋体" w:hAnsi="宋体" w:cs="宋体"/>
                <w:b/>
                <w:bCs/>
                <w:szCs w:val="21"/>
                <w:highlight w:val="none"/>
              </w:rPr>
              <w:t>序号</w:t>
            </w:r>
          </w:p>
        </w:tc>
        <w:tc>
          <w:tcPr>
            <w:tcW w:w="140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highlight w:val="none"/>
                <w:vertAlign w:val="baseline"/>
                <w:lang w:val="en-US" w:eastAsia="zh-CN"/>
              </w:rPr>
            </w:pPr>
            <w:r>
              <w:rPr>
                <w:rFonts w:hint="eastAsia" w:ascii="宋体" w:hAnsi="宋体" w:cs="宋体"/>
                <w:b/>
                <w:bCs/>
                <w:szCs w:val="21"/>
                <w:highlight w:val="none"/>
              </w:rPr>
              <w:t>经济科目</w:t>
            </w:r>
          </w:p>
        </w:tc>
        <w:tc>
          <w:tcPr>
            <w:tcW w:w="888"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rPr>
            </w:pPr>
            <w:r>
              <w:rPr>
                <w:rFonts w:hint="eastAsia" w:ascii="宋体" w:hAnsi="宋体" w:cs="宋体"/>
                <w:b/>
                <w:bCs/>
                <w:szCs w:val="21"/>
                <w:highlight w:val="none"/>
              </w:rPr>
              <w:t>202</w:t>
            </w:r>
            <w:r>
              <w:rPr>
                <w:rFonts w:hint="eastAsia" w:ascii="宋体" w:hAnsi="宋体" w:eastAsia="宋体" w:cs="宋体"/>
                <w:b/>
                <w:bCs/>
                <w:szCs w:val="21"/>
                <w:highlight w:val="none"/>
                <w:lang w:val="en-US" w:eastAsia="zh-CN"/>
              </w:rPr>
              <w:t>1</w:t>
            </w:r>
            <w:r>
              <w:rPr>
                <w:rFonts w:hint="eastAsia" w:ascii="宋体" w:hAnsi="宋体" w:cs="宋体"/>
                <w:b/>
                <w:bCs/>
                <w:szCs w:val="21"/>
                <w:highlight w:val="none"/>
              </w:rPr>
              <w:t>年</w:t>
            </w:r>
          </w:p>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highlight w:val="none"/>
                <w:vertAlign w:val="baseline"/>
                <w:lang w:val="en-US" w:eastAsia="zh-CN"/>
              </w:rPr>
            </w:pPr>
            <w:r>
              <w:rPr>
                <w:rFonts w:hint="eastAsia" w:ascii="宋体" w:hAnsi="宋体" w:cs="宋体"/>
                <w:b/>
                <w:bCs/>
                <w:szCs w:val="21"/>
                <w:highlight w:val="none"/>
              </w:rPr>
              <w:t>决算</w:t>
            </w:r>
          </w:p>
        </w:tc>
        <w:tc>
          <w:tcPr>
            <w:tcW w:w="94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rPr>
            </w:pPr>
            <w:r>
              <w:rPr>
                <w:rFonts w:hint="eastAsia" w:ascii="宋体" w:hAnsi="宋体" w:cs="宋体"/>
                <w:b/>
                <w:bCs/>
                <w:szCs w:val="21"/>
                <w:highlight w:val="none"/>
              </w:rPr>
              <w:t>202</w:t>
            </w:r>
            <w:r>
              <w:rPr>
                <w:rFonts w:hint="eastAsia" w:ascii="宋体" w:hAnsi="宋体" w:eastAsia="宋体" w:cs="宋体"/>
                <w:b/>
                <w:bCs/>
                <w:szCs w:val="21"/>
                <w:highlight w:val="none"/>
                <w:lang w:val="en-US" w:eastAsia="zh-CN"/>
              </w:rPr>
              <w:t>2</w:t>
            </w:r>
            <w:r>
              <w:rPr>
                <w:rFonts w:hint="eastAsia" w:ascii="宋体" w:hAnsi="宋体" w:cs="宋体"/>
                <w:b/>
                <w:bCs/>
                <w:szCs w:val="21"/>
                <w:highlight w:val="none"/>
              </w:rPr>
              <w:t>年</w:t>
            </w:r>
          </w:p>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highlight w:val="none"/>
                <w:vertAlign w:val="baseline"/>
                <w:lang w:val="en-US" w:eastAsia="zh-CN"/>
              </w:rPr>
            </w:pPr>
            <w:r>
              <w:rPr>
                <w:rFonts w:hint="eastAsia" w:ascii="宋体" w:hAnsi="宋体" w:cs="宋体"/>
                <w:b/>
                <w:bCs/>
                <w:szCs w:val="21"/>
                <w:highlight w:val="none"/>
              </w:rPr>
              <w:t>预算</w:t>
            </w:r>
          </w:p>
        </w:tc>
        <w:tc>
          <w:tcPr>
            <w:tcW w:w="946"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rPr>
            </w:pPr>
            <w:r>
              <w:rPr>
                <w:rFonts w:hint="eastAsia" w:ascii="宋体" w:hAnsi="宋体" w:cs="宋体"/>
                <w:b/>
                <w:bCs/>
                <w:szCs w:val="21"/>
                <w:highlight w:val="none"/>
              </w:rPr>
              <w:t>202</w:t>
            </w:r>
            <w:r>
              <w:rPr>
                <w:rFonts w:hint="eastAsia" w:ascii="宋体" w:hAnsi="宋体" w:cs="宋体"/>
                <w:b/>
                <w:bCs/>
                <w:szCs w:val="21"/>
                <w:highlight w:val="none"/>
                <w:lang w:val="en-US" w:eastAsia="zh-CN"/>
              </w:rPr>
              <w:t>2</w:t>
            </w:r>
            <w:r>
              <w:rPr>
                <w:rFonts w:hint="eastAsia" w:ascii="宋体" w:hAnsi="宋体" w:cs="宋体"/>
                <w:b/>
                <w:bCs/>
                <w:szCs w:val="21"/>
                <w:highlight w:val="none"/>
              </w:rPr>
              <w:t>年</w:t>
            </w:r>
          </w:p>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highlight w:val="yellow"/>
                <w:vertAlign w:val="baseline"/>
                <w:lang w:val="en-US" w:eastAsia="zh-CN"/>
              </w:rPr>
            </w:pPr>
            <w:r>
              <w:rPr>
                <w:rFonts w:hint="eastAsia" w:ascii="宋体" w:hAnsi="宋体" w:cs="宋体"/>
                <w:b/>
                <w:bCs/>
                <w:szCs w:val="21"/>
                <w:highlight w:val="none"/>
              </w:rPr>
              <w:t>决算</w:t>
            </w:r>
          </w:p>
        </w:tc>
        <w:tc>
          <w:tcPr>
            <w:tcW w:w="189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rPr>
            </w:pPr>
            <w:r>
              <w:rPr>
                <w:rFonts w:hint="eastAsia" w:ascii="宋体" w:hAnsi="宋体" w:cs="宋体"/>
                <w:b/>
                <w:bCs/>
                <w:szCs w:val="21"/>
                <w:highlight w:val="none"/>
              </w:rPr>
              <w:t>2</w:t>
            </w:r>
            <w:r>
              <w:rPr>
                <w:rFonts w:hint="eastAsia" w:ascii="宋体" w:hAnsi="宋体" w:cs="宋体"/>
                <w:b/>
                <w:bCs/>
                <w:szCs w:val="21"/>
                <w:highlight w:val="none"/>
                <w:lang w:val="en-US" w:eastAsia="zh-CN"/>
              </w:rPr>
              <w:t>2</w:t>
            </w:r>
            <w:r>
              <w:rPr>
                <w:rFonts w:hint="eastAsia" w:ascii="宋体" w:hAnsi="宋体" w:cs="宋体"/>
                <w:b/>
                <w:bCs/>
                <w:szCs w:val="21"/>
                <w:highlight w:val="none"/>
              </w:rPr>
              <w:t>年决算较年初</w:t>
            </w:r>
          </w:p>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lang w:val="en-US" w:eastAsia="zh-CN"/>
              </w:rPr>
            </w:pPr>
            <w:r>
              <w:rPr>
                <w:rFonts w:hint="eastAsia" w:ascii="宋体" w:hAnsi="宋体" w:cs="宋体"/>
                <w:b/>
                <w:bCs/>
                <w:szCs w:val="21"/>
                <w:highlight w:val="none"/>
              </w:rPr>
              <w:t>预算（增+减-）</w:t>
            </w:r>
          </w:p>
        </w:tc>
        <w:tc>
          <w:tcPr>
            <w:tcW w:w="1897"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rPr>
            </w:pPr>
            <w:r>
              <w:rPr>
                <w:rFonts w:hint="eastAsia" w:ascii="宋体" w:hAnsi="宋体" w:cs="宋体"/>
                <w:b/>
                <w:bCs/>
                <w:szCs w:val="21"/>
                <w:highlight w:val="none"/>
              </w:rPr>
              <w:t>2</w:t>
            </w:r>
            <w:r>
              <w:rPr>
                <w:rFonts w:hint="eastAsia" w:ascii="宋体" w:hAnsi="宋体" w:cs="宋体"/>
                <w:b/>
                <w:bCs/>
                <w:szCs w:val="21"/>
                <w:highlight w:val="none"/>
                <w:lang w:val="en-US" w:eastAsia="zh-CN"/>
              </w:rPr>
              <w:t>2</w:t>
            </w:r>
            <w:r>
              <w:rPr>
                <w:rFonts w:hint="eastAsia" w:ascii="宋体" w:hAnsi="宋体" w:cs="宋体"/>
                <w:b/>
                <w:bCs/>
                <w:szCs w:val="21"/>
                <w:highlight w:val="none"/>
              </w:rPr>
              <w:t>年决算较上年</w:t>
            </w:r>
          </w:p>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lang w:val="en-US" w:eastAsia="zh-CN"/>
              </w:rPr>
            </w:pPr>
            <w:r>
              <w:rPr>
                <w:rFonts w:hint="eastAsia" w:ascii="宋体" w:hAnsi="宋体" w:cs="宋体"/>
                <w:b/>
                <w:bCs/>
                <w:szCs w:val="21"/>
                <w:highlight w:val="none"/>
              </w:rPr>
              <w:t>决算（增+减-）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6" w:type="dxa"/>
            <w:vMerge w:val="continue"/>
          </w:tcPr>
          <w:p>
            <w:pPr>
              <w:pStyle w:val="3"/>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highlight w:val="none"/>
                <w:vertAlign w:val="baseline"/>
                <w:lang w:val="en-US" w:eastAsia="zh-CN"/>
              </w:rPr>
            </w:pPr>
          </w:p>
        </w:tc>
        <w:tc>
          <w:tcPr>
            <w:tcW w:w="1401" w:type="dxa"/>
            <w:vMerge w:val="continue"/>
          </w:tcPr>
          <w:p>
            <w:pPr>
              <w:pStyle w:val="3"/>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highlight w:val="none"/>
                <w:vertAlign w:val="baseline"/>
                <w:lang w:val="en-US" w:eastAsia="zh-CN"/>
              </w:rPr>
            </w:pPr>
          </w:p>
        </w:tc>
        <w:tc>
          <w:tcPr>
            <w:tcW w:w="888" w:type="dxa"/>
            <w:vMerge w:val="continue"/>
          </w:tcPr>
          <w:p>
            <w:pPr>
              <w:pStyle w:val="3"/>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highlight w:val="none"/>
                <w:vertAlign w:val="baseline"/>
                <w:lang w:val="en-US" w:eastAsia="zh-CN"/>
              </w:rPr>
            </w:pPr>
          </w:p>
        </w:tc>
        <w:tc>
          <w:tcPr>
            <w:tcW w:w="946" w:type="dxa"/>
            <w:vMerge w:val="continue"/>
          </w:tcPr>
          <w:p>
            <w:pPr>
              <w:pStyle w:val="3"/>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highlight w:val="none"/>
                <w:vertAlign w:val="baseline"/>
                <w:lang w:val="en-US" w:eastAsia="zh-CN"/>
              </w:rPr>
            </w:pPr>
          </w:p>
        </w:tc>
        <w:tc>
          <w:tcPr>
            <w:tcW w:w="946" w:type="dxa"/>
            <w:vMerge w:val="continue"/>
          </w:tcPr>
          <w:p>
            <w:pPr>
              <w:pStyle w:val="3"/>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highlight w:val="yellow"/>
                <w:vertAlign w:val="baseline"/>
                <w:lang w:val="en-US" w:eastAsia="zh-CN"/>
              </w:rPr>
            </w:pPr>
          </w:p>
        </w:tc>
        <w:tc>
          <w:tcPr>
            <w:tcW w:w="94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lang w:val="en-US" w:eastAsia="zh-CN"/>
              </w:rPr>
            </w:pPr>
            <w:r>
              <w:rPr>
                <w:rFonts w:hint="eastAsia" w:ascii="宋体" w:hAnsi="宋体" w:cs="宋体"/>
                <w:b/>
                <w:bCs/>
                <w:szCs w:val="21"/>
                <w:highlight w:val="none"/>
              </w:rPr>
              <w:t>金额</w:t>
            </w:r>
          </w:p>
        </w:tc>
        <w:tc>
          <w:tcPr>
            <w:tcW w:w="95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lang w:val="en-US" w:eastAsia="zh-CN"/>
              </w:rPr>
            </w:pPr>
            <w:r>
              <w:rPr>
                <w:rFonts w:hint="eastAsia" w:ascii="宋体" w:hAnsi="宋体" w:cs="宋体"/>
                <w:b/>
                <w:bCs/>
                <w:szCs w:val="21"/>
                <w:highlight w:val="none"/>
              </w:rPr>
              <w:t>比例</w:t>
            </w:r>
          </w:p>
        </w:tc>
        <w:tc>
          <w:tcPr>
            <w:tcW w:w="94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lang w:val="en-US" w:eastAsia="zh-CN"/>
              </w:rPr>
            </w:pPr>
            <w:r>
              <w:rPr>
                <w:rFonts w:hint="eastAsia" w:ascii="宋体" w:hAnsi="宋体" w:cs="宋体"/>
                <w:b/>
                <w:bCs/>
                <w:szCs w:val="21"/>
                <w:highlight w:val="none"/>
              </w:rPr>
              <w:t>金额</w:t>
            </w:r>
          </w:p>
        </w:tc>
        <w:tc>
          <w:tcPr>
            <w:tcW w:w="95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105" w:leftChars="-50" w:right="-105" w:rightChars="-50"/>
              <w:jc w:val="center"/>
              <w:textAlignment w:val="baseline"/>
              <w:rPr>
                <w:rFonts w:hint="eastAsia" w:ascii="宋体" w:hAnsi="宋体" w:cs="宋体"/>
                <w:b/>
                <w:bCs/>
                <w:szCs w:val="21"/>
                <w:highlight w:val="none"/>
                <w:lang w:val="en-US" w:eastAsia="zh-CN"/>
              </w:rPr>
            </w:pPr>
            <w:r>
              <w:rPr>
                <w:rFonts w:hint="eastAsia" w:ascii="宋体" w:hAnsi="宋体" w:cs="宋体"/>
                <w:b/>
                <w:bCs/>
                <w:szCs w:val="21"/>
                <w:highlight w:val="none"/>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highlight w:val="none"/>
                <w:vertAlign w:val="baseline"/>
                <w:lang w:val="en-US" w:eastAsia="zh-CN"/>
              </w:rPr>
            </w:pPr>
            <w:r>
              <w:rPr>
                <w:rFonts w:hint="eastAsia" w:ascii="宋体" w:hAnsi="宋体" w:cs="宋体"/>
                <w:b/>
                <w:bCs/>
                <w:szCs w:val="21"/>
                <w:highlight w:val="none"/>
              </w:rPr>
              <w:t>1</w:t>
            </w:r>
          </w:p>
        </w:tc>
        <w:tc>
          <w:tcPr>
            <w:tcW w:w="14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highlight w:val="none"/>
                <w:vertAlign w:val="baseline"/>
                <w:lang w:val="en-US" w:eastAsia="zh-CN"/>
              </w:rPr>
            </w:pPr>
            <w:r>
              <w:rPr>
                <w:rFonts w:hint="eastAsia" w:ascii="宋体" w:hAnsi="宋体" w:cs="宋体"/>
                <w:szCs w:val="21"/>
                <w:highlight w:val="none"/>
              </w:rPr>
              <w:t>公务用车购置及运行费</w:t>
            </w:r>
          </w:p>
        </w:tc>
        <w:tc>
          <w:tcPr>
            <w:tcW w:w="888" w:type="dxa"/>
            <w:vAlign w:val="center"/>
          </w:tcPr>
          <w:p>
            <w:pPr>
              <w:keepNext w:val="0"/>
              <w:keepLines w:val="0"/>
              <w:widowControl/>
              <w:suppressLineNumbers w:val="0"/>
              <w:jc w:val="center"/>
              <w:textAlignment w:val="top"/>
              <w:rPr>
                <w:rFonts w:hint="default"/>
                <w:highlight w:val="none"/>
                <w:vertAlign w:val="baseline"/>
                <w:lang w:val="en-US" w:eastAsia="zh-CN"/>
              </w:rPr>
            </w:pPr>
            <w:r>
              <w:rPr>
                <w:rFonts w:hint="eastAsia" w:ascii="宋体" w:hAnsi="宋体" w:eastAsia="宋体" w:cs="宋体"/>
                <w:i w:val="0"/>
                <w:iCs w:val="0"/>
                <w:snapToGrid w:val="0"/>
                <w:color w:val="000000"/>
                <w:kern w:val="0"/>
                <w:sz w:val="21"/>
                <w:szCs w:val="21"/>
                <w:u w:val="none"/>
                <w:lang w:val="en-US" w:eastAsia="zh-CN" w:bidi="ar"/>
              </w:rPr>
              <w:t>10.93</w:t>
            </w:r>
          </w:p>
        </w:tc>
        <w:tc>
          <w:tcPr>
            <w:tcW w:w="946" w:type="dxa"/>
            <w:vAlign w:val="center"/>
          </w:tcPr>
          <w:p>
            <w:pPr>
              <w:keepNext w:val="0"/>
              <w:keepLines w:val="0"/>
              <w:widowControl/>
              <w:suppressLineNumbers w:val="0"/>
              <w:jc w:val="center"/>
              <w:textAlignment w:val="top"/>
              <w:rPr>
                <w:rFonts w:hint="default" w:ascii="宋体" w:hAnsi="宋体" w:eastAsia="Arial" w:cs="宋体"/>
                <w:snapToGrid w:val="0"/>
                <w:color w:val="000000"/>
                <w:kern w:val="0"/>
                <w:sz w:val="21"/>
                <w:szCs w:val="21"/>
                <w:highlight w:val="none"/>
                <w:lang w:val="en-US" w:eastAsia="zh-CN"/>
              </w:rPr>
            </w:pPr>
            <w:r>
              <w:rPr>
                <w:rFonts w:hint="eastAsia" w:ascii="宋体" w:hAnsi="宋体" w:eastAsia="宋体" w:cs="宋体"/>
                <w:i w:val="0"/>
                <w:iCs w:val="0"/>
                <w:snapToGrid w:val="0"/>
                <w:color w:val="000000"/>
                <w:kern w:val="0"/>
                <w:sz w:val="21"/>
                <w:szCs w:val="21"/>
                <w:u w:val="none"/>
                <w:lang w:val="en-US" w:eastAsia="zh-CN" w:bidi="ar"/>
              </w:rPr>
              <w:t>80</w:t>
            </w:r>
          </w:p>
        </w:tc>
        <w:tc>
          <w:tcPr>
            <w:tcW w:w="946" w:type="dxa"/>
            <w:vAlign w:val="center"/>
          </w:tcPr>
          <w:p>
            <w:pPr>
              <w:keepNext w:val="0"/>
              <w:keepLines w:val="0"/>
              <w:widowControl/>
              <w:suppressLineNumbers w:val="0"/>
              <w:jc w:val="center"/>
              <w:textAlignment w:val="top"/>
              <w:rPr>
                <w:rFonts w:hint="default" w:ascii="宋体" w:hAnsi="宋体" w:eastAsia="宋体" w:cs="宋体"/>
                <w:i w:val="0"/>
                <w:iCs w:val="0"/>
                <w:snapToGrid w:val="0"/>
                <w:color w:val="000000"/>
                <w:kern w:val="0"/>
                <w:sz w:val="21"/>
                <w:szCs w:val="21"/>
                <w:highlight w:val="none"/>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41.35</w:t>
            </w:r>
          </w:p>
        </w:tc>
        <w:tc>
          <w:tcPr>
            <w:tcW w:w="947" w:type="dxa"/>
            <w:vAlign w:val="center"/>
          </w:tcPr>
          <w:p>
            <w:pPr>
              <w:keepNext w:val="0"/>
              <w:keepLines w:val="0"/>
              <w:widowControl/>
              <w:suppressLineNumbers w:val="0"/>
              <w:jc w:val="center"/>
              <w:textAlignment w:val="top"/>
              <w:rPr>
                <w:rFonts w:hint="eastAsia" w:ascii="宋体" w:hAnsi="宋体" w:eastAsia="Arial" w:cs="宋体"/>
                <w:snapToGrid w:val="0"/>
                <w:color w:val="000000"/>
                <w:kern w:val="0"/>
                <w:sz w:val="21"/>
                <w:szCs w:val="21"/>
                <w:highlight w:val="yellow"/>
                <w:lang w:val="en-US" w:eastAsia="zh-CN"/>
              </w:rPr>
            </w:pPr>
            <w:r>
              <w:rPr>
                <w:rFonts w:hint="eastAsia" w:ascii="宋体" w:hAnsi="宋体" w:eastAsia="宋体" w:cs="宋体"/>
                <w:i w:val="0"/>
                <w:iCs w:val="0"/>
                <w:snapToGrid w:val="0"/>
                <w:color w:val="000000"/>
                <w:kern w:val="0"/>
                <w:sz w:val="21"/>
                <w:szCs w:val="21"/>
                <w:u w:val="none"/>
                <w:lang w:val="en-US" w:eastAsia="zh-CN" w:bidi="ar"/>
              </w:rPr>
              <w:t>-38.65</w:t>
            </w:r>
          </w:p>
        </w:tc>
        <w:tc>
          <w:tcPr>
            <w:tcW w:w="951" w:type="dxa"/>
            <w:vAlign w:val="center"/>
          </w:tcPr>
          <w:p>
            <w:pPr>
              <w:keepNext w:val="0"/>
              <w:keepLines w:val="0"/>
              <w:widowControl/>
              <w:suppressLineNumbers w:val="0"/>
              <w:jc w:val="center"/>
              <w:textAlignment w:val="top"/>
              <w:rPr>
                <w:rFonts w:hint="eastAsia" w:ascii="宋体" w:hAnsi="宋体" w:eastAsia="Arial" w:cs="宋体"/>
                <w:snapToGrid w:val="0"/>
                <w:color w:val="000000"/>
                <w:kern w:val="0"/>
                <w:sz w:val="21"/>
                <w:szCs w:val="21"/>
                <w:highlight w:val="yellow"/>
                <w:lang w:val="en-US" w:eastAsia="zh-CN"/>
              </w:rPr>
            </w:pPr>
            <w:r>
              <w:rPr>
                <w:rFonts w:hint="eastAsia" w:ascii="宋体" w:hAnsi="宋体" w:eastAsia="宋体" w:cs="宋体"/>
                <w:i w:val="0"/>
                <w:iCs w:val="0"/>
                <w:snapToGrid w:val="0"/>
                <w:color w:val="000000"/>
                <w:kern w:val="0"/>
                <w:sz w:val="21"/>
                <w:szCs w:val="21"/>
                <w:u w:val="none"/>
                <w:lang w:val="en-US" w:eastAsia="zh-CN" w:bidi="ar"/>
              </w:rPr>
              <w:t>-48.31%</w:t>
            </w:r>
          </w:p>
        </w:tc>
        <w:tc>
          <w:tcPr>
            <w:tcW w:w="946" w:type="dxa"/>
            <w:vAlign w:val="center"/>
          </w:tcPr>
          <w:p>
            <w:pPr>
              <w:keepNext w:val="0"/>
              <w:keepLines w:val="0"/>
              <w:widowControl/>
              <w:suppressLineNumbers w:val="0"/>
              <w:jc w:val="center"/>
              <w:textAlignment w:val="top"/>
              <w:rPr>
                <w:rFonts w:hint="eastAsia" w:ascii="宋体" w:hAnsi="宋体" w:eastAsia="Arial" w:cs="宋体"/>
                <w:snapToGrid w:val="0"/>
                <w:color w:val="000000"/>
                <w:kern w:val="0"/>
                <w:sz w:val="21"/>
                <w:szCs w:val="21"/>
                <w:highlight w:val="yellow"/>
                <w:lang w:val="en-US" w:eastAsia="zh-CN"/>
              </w:rPr>
            </w:pPr>
            <w:r>
              <w:rPr>
                <w:rFonts w:hint="eastAsia" w:ascii="宋体" w:hAnsi="宋体" w:eastAsia="宋体" w:cs="宋体"/>
                <w:i w:val="0"/>
                <w:iCs w:val="0"/>
                <w:snapToGrid w:val="0"/>
                <w:color w:val="000000"/>
                <w:kern w:val="0"/>
                <w:sz w:val="21"/>
                <w:szCs w:val="21"/>
                <w:u w:val="none"/>
                <w:lang w:val="en-US" w:eastAsia="zh-CN" w:bidi="ar"/>
              </w:rPr>
              <w:t>30.42</w:t>
            </w:r>
          </w:p>
        </w:tc>
        <w:tc>
          <w:tcPr>
            <w:tcW w:w="951" w:type="dxa"/>
            <w:vAlign w:val="center"/>
          </w:tcPr>
          <w:p>
            <w:pPr>
              <w:keepNext w:val="0"/>
              <w:keepLines w:val="0"/>
              <w:widowControl/>
              <w:suppressLineNumbers w:val="0"/>
              <w:jc w:val="center"/>
              <w:textAlignment w:val="top"/>
              <w:rPr>
                <w:rFonts w:hint="eastAsia" w:ascii="宋体" w:hAnsi="宋体" w:eastAsia="Arial" w:cs="宋体"/>
                <w:snapToGrid w:val="0"/>
                <w:color w:val="000000" w:themeColor="text1"/>
                <w:kern w:val="0"/>
                <w:sz w:val="21"/>
                <w:szCs w:val="21"/>
                <w:highlight w:val="yellow"/>
                <w:lang w:val="en-US" w:eastAsia="zh-CN"/>
                <w14:textFill>
                  <w14:solidFill>
                    <w14:schemeClr w14:val="tx1"/>
                  </w14:solidFill>
                </w14:textFill>
              </w:rPr>
            </w:pPr>
            <w:r>
              <w:rPr>
                <w:rFonts w:hint="eastAsia" w:ascii="宋体" w:hAnsi="宋体" w:eastAsia="宋体" w:cs="宋体"/>
                <w:i w:val="0"/>
                <w:iCs w:val="0"/>
                <w:snapToGrid w:val="0"/>
                <w:color w:val="000000"/>
                <w:kern w:val="0"/>
                <w:sz w:val="21"/>
                <w:szCs w:val="21"/>
                <w:u w:val="none"/>
                <w:lang w:val="en-US" w:eastAsia="zh-CN" w:bidi="ar"/>
              </w:rPr>
              <w:t>278.32%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cs="宋体"/>
                <w:b/>
                <w:bCs/>
                <w:szCs w:val="21"/>
                <w:highlight w:val="none"/>
              </w:rPr>
            </w:pPr>
          </w:p>
        </w:tc>
        <w:tc>
          <w:tcPr>
            <w:tcW w:w="14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cs="宋体"/>
                <w:szCs w:val="21"/>
                <w:highlight w:val="none"/>
              </w:rPr>
            </w:pPr>
            <w:r>
              <w:rPr>
                <w:rFonts w:hint="eastAsia" w:ascii="宋体" w:hAnsi="宋体" w:cs="宋体"/>
                <w:szCs w:val="21"/>
                <w:highlight w:val="none"/>
              </w:rPr>
              <w:t>公务用车购置费</w:t>
            </w:r>
          </w:p>
        </w:tc>
        <w:tc>
          <w:tcPr>
            <w:tcW w:w="888" w:type="dxa"/>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1"/>
                <w:szCs w:val="21"/>
                <w:highlight w:val="none"/>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0</w:t>
            </w:r>
          </w:p>
        </w:tc>
        <w:tc>
          <w:tcPr>
            <w:tcW w:w="946"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1"/>
                <w:szCs w:val="21"/>
                <w:highlight w:val="none"/>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18</w:t>
            </w:r>
          </w:p>
        </w:tc>
        <w:tc>
          <w:tcPr>
            <w:tcW w:w="946"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1"/>
                <w:szCs w:val="21"/>
                <w:highlight w:val="none"/>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19.12</w:t>
            </w:r>
          </w:p>
        </w:tc>
        <w:tc>
          <w:tcPr>
            <w:tcW w:w="94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highlight w:val="yellow"/>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1.12</w:t>
            </w:r>
          </w:p>
        </w:tc>
        <w:tc>
          <w:tcPr>
            <w:tcW w:w="951" w:type="dxa"/>
            <w:vAlign w:val="center"/>
          </w:tcPr>
          <w:p>
            <w:pPr>
              <w:keepNext w:val="0"/>
              <w:keepLines w:val="0"/>
              <w:widowControl/>
              <w:suppressLineNumbers w:val="0"/>
              <w:jc w:val="center"/>
              <w:textAlignment w:val="top"/>
              <w:rPr>
                <w:rFonts w:hint="eastAsia" w:ascii="宋体" w:hAnsi="宋体" w:eastAsia="宋体" w:cs="宋体"/>
                <w:i w:val="0"/>
                <w:iCs w:val="0"/>
                <w:snapToGrid w:val="0"/>
                <w:color w:val="000000"/>
                <w:kern w:val="0"/>
                <w:sz w:val="21"/>
                <w:szCs w:val="21"/>
                <w:highlight w:val="yellow"/>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6.22%</w:t>
            </w:r>
          </w:p>
        </w:tc>
        <w:tc>
          <w:tcPr>
            <w:tcW w:w="946" w:type="dxa"/>
            <w:vAlign w:val="center"/>
          </w:tcPr>
          <w:p>
            <w:pPr>
              <w:keepNext w:val="0"/>
              <w:keepLines w:val="0"/>
              <w:widowControl/>
              <w:suppressLineNumbers w:val="0"/>
              <w:jc w:val="center"/>
              <w:textAlignment w:val="top"/>
              <w:rPr>
                <w:rFonts w:hint="eastAsia" w:ascii="宋体" w:hAnsi="宋体" w:eastAsia="宋体" w:cs="宋体"/>
                <w:i w:val="0"/>
                <w:iCs w:val="0"/>
                <w:snapToGrid w:val="0"/>
                <w:color w:val="000000"/>
                <w:kern w:val="0"/>
                <w:sz w:val="21"/>
                <w:szCs w:val="21"/>
                <w:highlight w:val="yellow"/>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19.12</w:t>
            </w:r>
          </w:p>
        </w:tc>
        <w:tc>
          <w:tcPr>
            <w:tcW w:w="951" w:type="dxa"/>
            <w:vAlign w:val="center"/>
          </w:tcPr>
          <w:p>
            <w:pPr>
              <w:keepNext w:val="0"/>
              <w:keepLines w:val="0"/>
              <w:widowControl/>
              <w:suppressLineNumbers w:val="0"/>
              <w:jc w:val="center"/>
              <w:textAlignment w:val="top"/>
              <w:rPr>
                <w:rFonts w:hint="eastAsia" w:ascii="宋体" w:hAnsi="宋体" w:eastAsia="宋体" w:cs="宋体"/>
                <w:i w:val="0"/>
                <w:iCs w:val="0"/>
                <w:snapToGrid w:val="0"/>
                <w:color w:val="000000" w:themeColor="text1"/>
                <w:kern w:val="0"/>
                <w:sz w:val="21"/>
                <w:szCs w:val="21"/>
                <w:highlight w:val="yellow"/>
                <w:u w:val="none"/>
                <w:lang w:val="en-US" w:eastAsia="zh-CN" w:bidi="ar"/>
                <w14:textFill>
                  <w14:solidFill>
                    <w14:schemeClr w14:val="tx1"/>
                  </w14:solidFill>
                </w14:textFill>
              </w:rPr>
            </w:pPr>
            <w:r>
              <w:rPr>
                <w:rFonts w:hint="eastAsia" w:ascii="宋体" w:hAnsi="宋体" w:eastAsia="宋体" w:cs="宋体"/>
                <w:i w:val="0"/>
                <w:iCs w:val="0"/>
                <w:snapToGrid w:val="0"/>
                <w:color w:val="000000"/>
                <w:kern w:val="0"/>
                <w:sz w:val="21"/>
                <w:szCs w:val="21"/>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cs="宋体"/>
                <w:b/>
                <w:bCs/>
                <w:szCs w:val="21"/>
                <w:highlight w:val="none"/>
              </w:rPr>
            </w:pPr>
          </w:p>
        </w:tc>
        <w:tc>
          <w:tcPr>
            <w:tcW w:w="14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cs="宋体"/>
                <w:szCs w:val="21"/>
                <w:highlight w:val="none"/>
              </w:rPr>
            </w:pPr>
            <w:r>
              <w:rPr>
                <w:rFonts w:hint="eastAsia" w:ascii="宋体" w:hAnsi="宋体" w:cs="宋体"/>
                <w:szCs w:val="21"/>
                <w:highlight w:val="none"/>
              </w:rPr>
              <w:t>公务用车运行费</w:t>
            </w:r>
          </w:p>
        </w:tc>
        <w:tc>
          <w:tcPr>
            <w:tcW w:w="888" w:type="dxa"/>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1"/>
                <w:szCs w:val="21"/>
                <w:highlight w:val="none"/>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10.93</w:t>
            </w:r>
          </w:p>
        </w:tc>
        <w:tc>
          <w:tcPr>
            <w:tcW w:w="946"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1"/>
                <w:szCs w:val="21"/>
                <w:highlight w:val="none"/>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62</w:t>
            </w:r>
          </w:p>
        </w:tc>
        <w:tc>
          <w:tcPr>
            <w:tcW w:w="946"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1"/>
                <w:szCs w:val="21"/>
                <w:highlight w:val="none"/>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22.23</w:t>
            </w:r>
          </w:p>
        </w:tc>
        <w:tc>
          <w:tcPr>
            <w:tcW w:w="947" w:type="dxa"/>
            <w:vAlign w:val="center"/>
          </w:tcPr>
          <w:p>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highlight w:val="yellow"/>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-39.77</w:t>
            </w:r>
          </w:p>
        </w:tc>
        <w:tc>
          <w:tcPr>
            <w:tcW w:w="951" w:type="dxa"/>
            <w:vAlign w:val="center"/>
          </w:tcPr>
          <w:p>
            <w:pPr>
              <w:keepNext w:val="0"/>
              <w:keepLines w:val="0"/>
              <w:widowControl/>
              <w:suppressLineNumbers w:val="0"/>
              <w:jc w:val="center"/>
              <w:textAlignment w:val="top"/>
              <w:rPr>
                <w:rFonts w:hint="eastAsia" w:ascii="宋体" w:hAnsi="宋体" w:eastAsia="宋体" w:cs="宋体"/>
                <w:i w:val="0"/>
                <w:iCs w:val="0"/>
                <w:snapToGrid w:val="0"/>
                <w:color w:val="000000"/>
                <w:kern w:val="0"/>
                <w:sz w:val="21"/>
                <w:szCs w:val="21"/>
                <w:highlight w:val="yellow"/>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-64.15%</w:t>
            </w:r>
          </w:p>
        </w:tc>
        <w:tc>
          <w:tcPr>
            <w:tcW w:w="946" w:type="dxa"/>
            <w:vAlign w:val="center"/>
          </w:tcPr>
          <w:p>
            <w:pPr>
              <w:keepNext w:val="0"/>
              <w:keepLines w:val="0"/>
              <w:widowControl/>
              <w:suppressLineNumbers w:val="0"/>
              <w:jc w:val="center"/>
              <w:textAlignment w:val="top"/>
              <w:rPr>
                <w:rFonts w:hint="default" w:ascii="宋体" w:hAnsi="宋体" w:eastAsia="宋体" w:cs="宋体"/>
                <w:i w:val="0"/>
                <w:iCs w:val="0"/>
                <w:snapToGrid w:val="0"/>
                <w:color w:val="000000"/>
                <w:kern w:val="0"/>
                <w:sz w:val="21"/>
                <w:szCs w:val="21"/>
                <w:highlight w:val="yellow"/>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11.3</w:t>
            </w:r>
          </w:p>
        </w:tc>
        <w:tc>
          <w:tcPr>
            <w:tcW w:w="951" w:type="dxa"/>
            <w:vAlign w:val="center"/>
          </w:tcPr>
          <w:p>
            <w:pPr>
              <w:keepNext w:val="0"/>
              <w:keepLines w:val="0"/>
              <w:widowControl/>
              <w:suppressLineNumbers w:val="0"/>
              <w:jc w:val="center"/>
              <w:textAlignment w:val="top"/>
              <w:rPr>
                <w:rFonts w:hint="eastAsia" w:ascii="宋体" w:hAnsi="宋体" w:eastAsia="宋体" w:cs="宋体"/>
                <w:i w:val="0"/>
                <w:iCs w:val="0"/>
                <w:snapToGrid w:val="0"/>
                <w:color w:val="000000" w:themeColor="text1"/>
                <w:kern w:val="0"/>
                <w:sz w:val="21"/>
                <w:szCs w:val="21"/>
                <w:highlight w:val="yellow"/>
                <w:u w:val="none"/>
                <w:lang w:val="en-US" w:eastAsia="zh-CN" w:bidi="ar"/>
                <w14:textFill>
                  <w14:solidFill>
                    <w14:schemeClr w14:val="tx1"/>
                  </w14:solidFill>
                </w14:textFill>
              </w:rPr>
            </w:pPr>
            <w:r>
              <w:rPr>
                <w:rFonts w:hint="eastAsia" w:ascii="宋体" w:hAnsi="宋体" w:eastAsia="宋体" w:cs="宋体"/>
                <w:i w:val="0"/>
                <w:iCs w:val="0"/>
                <w:snapToGrid w:val="0"/>
                <w:color w:val="000000"/>
                <w:kern w:val="0"/>
                <w:sz w:val="21"/>
                <w:szCs w:val="21"/>
                <w:u w:val="none"/>
                <w:lang w:val="en-US" w:eastAsia="zh-CN" w:bidi="ar"/>
              </w:rPr>
              <w:t>103.39%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highlight w:val="none"/>
                <w:vertAlign w:val="baseline"/>
                <w:lang w:val="en-US" w:eastAsia="zh-CN"/>
              </w:rPr>
            </w:pPr>
            <w:r>
              <w:rPr>
                <w:rFonts w:hint="eastAsia" w:ascii="宋体" w:hAnsi="宋体" w:cs="宋体"/>
                <w:b/>
                <w:bCs/>
                <w:szCs w:val="21"/>
                <w:highlight w:val="none"/>
              </w:rPr>
              <w:t>2</w:t>
            </w:r>
          </w:p>
        </w:tc>
        <w:tc>
          <w:tcPr>
            <w:tcW w:w="14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highlight w:val="none"/>
                <w:vertAlign w:val="baseline"/>
                <w:lang w:val="en-US" w:eastAsia="zh-CN"/>
              </w:rPr>
            </w:pPr>
            <w:r>
              <w:rPr>
                <w:rFonts w:hint="eastAsia" w:ascii="宋体" w:hAnsi="宋体" w:cs="宋体"/>
                <w:szCs w:val="21"/>
                <w:highlight w:val="none"/>
              </w:rPr>
              <w:t>公务接待费</w:t>
            </w:r>
          </w:p>
        </w:tc>
        <w:tc>
          <w:tcPr>
            <w:tcW w:w="888" w:type="dxa"/>
            <w:vAlign w:val="center"/>
          </w:tcPr>
          <w:p>
            <w:pPr>
              <w:keepNext w:val="0"/>
              <w:keepLines w:val="0"/>
              <w:widowControl/>
              <w:suppressLineNumbers w:val="0"/>
              <w:jc w:val="center"/>
              <w:textAlignment w:val="center"/>
              <w:rPr>
                <w:rFonts w:hint="default"/>
                <w:highlight w:val="none"/>
                <w:vertAlign w:val="baseline"/>
                <w:lang w:val="en-US" w:eastAsia="zh-CN"/>
              </w:rPr>
            </w:pPr>
            <w:r>
              <w:rPr>
                <w:rFonts w:hint="eastAsia" w:ascii="宋体" w:hAnsi="宋体" w:eastAsia="宋体" w:cs="宋体"/>
                <w:i w:val="0"/>
                <w:iCs w:val="0"/>
                <w:snapToGrid w:val="0"/>
                <w:color w:val="000000"/>
                <w:kern w:val="0"/>
                <w:sz w:val="21"/>
                <w:szCs w:val="21"/>
                <w:u w:val="none"/>
                <w:lang w:val="en-US" w:eastAsia="zh-CN" w:bidi="ar"/>
              </w:rPr>
              <w:t>16.04</w:t>
            </w:r>
          </w:p>
        </w:tc>
        <w:tc>
          <w:tcPr>
            <w:tcW w:w="946" w:type="dxa"/>
            <w:vAlign w:val="center"/>
          </w:tcPr>
          <w:p>
            <w:pPr>
              <w:keepNext w:val="0"/>
              <w:keepLines w:val="0"/>
              <w:widowControl/>
              <w:suppressLineNumbers w:val="0"/>
              <w:jc w:val="center"/>
              <w:textAlignment w:val="center"/>
              <w:rPr>
                <w:rFonts w:hint="default" w:ascii="宋体" w:hAnsi="宋体" w:eastAsia="宋体" w:cs="宋体"/>
                <w:snapToGrid w:val="0"/>
                <w:color w:val="000000"/>
                <w:kern w:val="0"/>
                <w:sz w:val="21"/>
                <w:szCs w:val="21"/>
                <w:highlight w:val="none"/>
                <w:lang w:val="en-US" w:eastAsia="zh-CN"/>
              </w:rPr>
            </w:pPr>
            <w:r>
              <w:rPr>
                <w:rFonts w:hint="eastAsia" w:ascii="宋体" w:hAnsi="宋体" w:eastAsia="宋体" w:cs="宋体"/>
                <w:i w:val="0"/>
                <w:iCs w:val="0"/>
                <w:snapToGrid w:val="0"/>
                <w:color w:val="000000"/>
                <w:kern w:val="0"/>
                <w:sz w:val="21"/>
                <w:szCs w:val="21"/>
                <w:u w:val="none"/>
                <w:lang w:val="en-US" w:eastAsia="zh-CN" w:bidi="ar"/>
              </w:rPr>
              <w:t>60</w:t>
            </w:r>
          </w:p>
        </w:tc>
        <w:tc>
          <w:tcPr>
            <w:tcW w:w="946" w:type="dxa"/>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1"/>
                <w:szCs w:val="21"/>
                <w:highlight w:val="none"/>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11.44</w:t>
            </w:r>
          </w:p>
        </w:tc>
        <w:tc>
          <w:tcPr>
            <w:tcW w:w="947" w:type="dxa"/>
            <w:vAlign w:val="center"/>
          </w:tcPr>
          <w:p>
            <w:pPr>
              <w:keepNext w:val="0"/>
              <w:keepLines w:val="0"/>
              <w:widowControl/>
              <w:suppressLineNumbers w:val="0"/>
              <w:jc w:val="center"/>
              <w:textAlignment w:val="center"/>
              <w:rPr>
                <w:rFonts w:hint="eastAsia" w:ascii="宋体" w:hAnsi="宋体" w:eastAsia="Arial" w:cs="宋体"/>
                <w:snapToGrid w:val="0"/>
                <w:color w:val="000000"/>
                <w:kern w:val="0"/>
                <w:sz w:val="21"/>
                <w:szCs w:val="21"/>
                <w:highlight w:val="yellow"/>
                <w:lang w:val="en-US" w:eastAsia="zh-CN"/>
              </w:rPr>
            </w:pPr>
            <w:r>
              <w:rPr>
                <w:rFonts w:hint="eastAsia" w:ascii="宋体" w:hAnsi="宋体" w:eastAsia="宋体" w:cs="宋体"/>
                <w:i w:val="0"/>
                <w:iCs w:val="0"/>
                <w:snapToGrid w:val="0"/>
                <w:color w:val="000000"/>
                <w:kern w:val="0"/>
                <w:sz w:val="21"/>
                <w:szCs w:val="21"/>
                <w:u w:val="none"/>
                <w:lang w:val="en-US" w:eastAsia="zh-CN" w:bidi="ar"/>
              </w:rPr>
              <w:t>-48.56</w:t>
            </w:r>
          </w:p>
        </w:tc>
        <w:tc>
          <w:tcPr>
            <w:tcW w:w="951" w:type="dxa"/>
            <w:vAlign w:val="center"/>
          </w:tcPr>
          <w:p>
            <w:pPr>
              <w:keepNext w:val="0"/>
              <w:keepLines w:val="0"/>
              <w:widowControl/>
              <w:suppressLineNumbers w:val="0"/>
              <w:jc w:val="center"/>
              <w:textAlignment w:val="top"/>
              <w:rPr>
                <w:rFonts w:hint="eastAsia" w:ascii="宋体" w:hAnsi="宋体" w:eastAsia="Arial" w:cs="宋体"/>
                <w:snapToGrid w:val="0"/>
                <w:color w:val="000000"/>
                <w:kern w:val="0"/>
                <w:sz w:val="21"/>
                <w:szCs w:val="21"/>
                <w:highlight w:val="yellow"/>
                <w:lang w:val="en-US" w:eastAsia="zh-CN"/>
              </w:rPr>
            </w:pPr>
            <w:r>
              <w:rPr>
                <w:rFonts w:hint="eastAsia" w:ascii="宋体" w:hAnsi="宋体" w:eastAsia="宋体" w:cs="宋体"/>
                <w:i w:val="0"/>
                <w:iCs w:val="0"/>
                <w:snapToGrid w:val="0"/>
                <w:color w:val="000000"/>
                <w:kern w:val="0"/>
                <w:sz w:val="21"/>
                <w:szCs w:val="21"/>
                <w:u w:val="none"/>
                <w:lang w:val="en-US" w:eastAsia="zh-CN" w:bidi="ar"/>
              </w:rPr>
              <w:t>-80.93%</w:t>
            </w:r>
          </w:p>
        </w:tc>
        <w:tc>
          <w:tcPr>
            <w:tcW w:w="946" w:type="dxa"/>
            <w:vAlign w:val="center"/>
          </w:tcPr>
          <w:p>
            <w:pPr>
              <w:keepNext w:val="0"/>
              <w:keepLines w:val="0"/>
              <w:widowControl/>
              <w:suppressLineNumbers w:val="0"/>
              <w:jc w:val="center"/>
              <w:textAlignment w:val="top"/>
              <w:rPr>
                <w:rFonts w:hint="default" w:ascii="宋体" w:hAnsi="宋体" w:eastAsia="Arial" w:cs="宋体"/>
                <w:snapToGrid w:val="0"/>
                <w:color w:val="000000"/>
                <w:kern w:val="0"/>
                <w:sz w:val="21"/>
                <w:szCs w:val="21"/>
                <w:highlight w:val="yellow"/>
                <w:lang w:val="en-US" w:eastAsia="zh-CN"/>
              </w:rPr>
            </w:pPr>
            <w:r>
              <w:rPr>
                <w:rFonts w:hint="eastAsia" w:ascii="宋体" w:hAnsi="宋体" w:eastAsia="宋体" w:cs="宋体"/>
                <w:i w:val="0"/>
                <w:iCs w:val="0"/>
                <w:snapToGrid w:val="0"/>
                <w:color w:val="000000"/>
                <w:kern w:val="0"/>
                <w:sz w:val="21"/>
                <w:szCs w:val="21"/>
                <w:u w:val="none"/>
                <w:lang w:val="en-US" w:eastAsia="zh-CN" w:bidi="ar"/>
              </w:rPr>
              <w:t>-4.6</w:t>
            </w:r>
          </w:p>
        </w:tc>
        <w:tc>
          <w:tcPr>
            <w:tcW w:w="951" w:type="dxa"/>
            <w:vAlign w:val="center"/>
          </w:tcPr>
          <w:p>
            <w:pPr>
              <w:keepNext w:val="0"/>
              <w:keepLines w:val="0"/>
              <w:widowControl/>
              <w:suppressLineNumbers w:val="0"/>
              <w:jc w:val="center"/>
              <w:textAlignment w:val="top"/>
              <w:rPr>
                <w:rFonts w:hint="eastAsia" w:ascii="宋体" w:hAnsi="宋体" w:eastAsia="Arial" w:cs="宋体"/>
                <w:snapToGrid w:val="0"/>
                <w:color w:val="000000" w:themeColor="text1"/>
                <w:kern w:val="0"/>
                <w:sz w:val="21"/>
                <w:szCs w:val="21"/>
                <w:highlight w:val="yellow"/>
                <w:lang w:val="en-US" w:eastAsia="zh-CN"/>
                <w14:textFill>
                  <w14:solidFill>
                    <w14:schemeClr w14:val="tx1"/>
                  </w14:solidFill>
                </w14:textFill>
              </w:rPr>
            </w:pPr>
            <w:r>
              <w:rPr>
                <w:rFonts w:hint="eastAsia" w:ascii="宋体" w:hAnsi="宋体" w:eastAsia="宋体" w:cs="宋体"/>
                <w:i w:val="0"/>
                <w:iCs w:val="0"/>
                <w:snapToGrid w:val="0"/>
                <w:color w:val="000000"/>
                <w:kern w:val="0"/>
                <w:sz w:val="21"/>
                <w:szCs w:val="21"/>
                <w:u w:val="none"/>
                <w:lang w:val="en-US" w:eastAsia="zh-CN" w:bidi="ar"/>
              </w:rPr>
              <w:t>-28.68%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highlight w:val="none"/>
                <w:vertAlign w:val="baseline"/>
                <w:lang w:val="en-US" w:eastAsia="zh-CN"/>
              </w:rPr>
            </w:pPr>
            <w:r>
              <w:rPr>
                <w:rFonts w:hint="eastAsia" w:ascii="宋体" w:hAnsi="宋体" w:cs="宋体"/>
                <w:b/>
                <w:bCs/>
                <w:szCs w:val="21"/>
                <w:highlight w:val="none"/>
              </w:rPr>
              <w:t>3</w:t>
            </w:r>
          </w:p>
        </w:tc>
        <w:tc>
          <w:tcPr>
            <w:tcW w:w="14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cs="宋体"/>
                <w:szCs w:val="21"/>
                <w:highlight w:val="none"/>
              </w:rPr>
            </w:pPr>
            <w:r>
              <w:rPr>
                <w:rFonts w:hint="eastAsia" w:ascii="宋体" w:hAnsi="宋体" w:cs="宋体"/>
                <w:szCs w:val="21"/>
                <w:highlight w:val="none"/>
              </w:rPr>
              <w:t>因公出国</w:t>
            </w: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highlight w:val="none"/>
                <w:vertAlign w:val="baseline"/>
                <w:lang w:val="en-US" w:eastAsia="zh-CN"/>
              </w:rPr>
            </w:pPr>
            <w:r>
              <w:rPr>
                <w:rFonts w:hint="eastAsia" w:ascii="宋体" w:hAnsi="宋体" w:cs="宋体"/>
                <w:szCs w:val="21"/>
                <w:highlight w:val="none"/>
              </w:rPr>
              <w:t>（境）费</w:t>
            </w:r>
          </w:p>
        </w:tc>
        <w:tc>
          <w:tcPr>
            <w:tcW w:w="888" w:type="dxa"/>
            <w:vAlign w:val="center"/>
          </w:tcPr>
          <w:p>
            <w:pPr>
              <w:keepNext w:val="0"/>
              <w:keepLines w:val="0"/>
              <w:widowControl/>
              <w:suppressLineNumbers w:val="0"/>
              <w:jc w:val="center"/>
              <w:textAlignment w:val="center"/>
              <w:rPr>
                <w:rFonts w:hint="default"/>
                <w:highlight w:val="none"/>
                <w:vertAlign w:val="baseline"/>
                <w:lang w:val="en-US" w:eastAsia="zh-CN"/>
              </w:rPr>
            </w:pPr>
            <w:r>
              <w:rPr>
                <w:rFonts w:hint="eastAsia" w:ascii="宋体" w:hAnsi="宋体" w:eastAsia="宋体" w:cs="宋体"/>
                <w:i w:val="0"/>
                <w:iCs w:val="0"/>
                <w:snapToGrid w:val="0"/>
                <w:color w:val="000000"/>
                <w:kern w:val="0"/>
                <w:sz w:val="21"/>
                <w:szCs w:val="21"/>
                <w:u w:val="none"/>
                <w:lang w:val="en-US" w:eastAsia="zh-CN" w:bidi="ar"/>
              </w:rPr>
              <w:t>0</w:t>
            </w:r>
          </w:p>
        </w:tc>
        <w:tc>
          <w:tcPr>
            <w:tcW w:w="946" w:type="dxa"/>
            <w:vAlign w:val="center"/>
          </w:tcPr>
          <w:p>
            <w:pPr>
              <w:keepNext w:val="0"/>
              <w:keepLines w:val="0"/>
              <w:widowControl/>
              <w:suppressLineNumbers w:val="0"/>
              <w:jc w:val="center"/>
              <w:textAlignment w:val="center"/>
              <w:rPr>
                <w:rFonts w:hint="default" w:ascii="宋体" w:hAnsi="宋体" w:eastAsia="Arial" w:cs="宋体"/>
                <w:snapToGrid w:val="0"/>
                <w:color w:val="000000"/>
                <w:kern w:val="0"/>
                <w:sz w:val="21"/>
                <w:szCs w:val="21"/>
                <w:highlight w:val="none"/>
                <w:lang w:val="en-US" w:eastAsia="zh-CN"/>
              </w:rPr>
            </w:pPr>
            <w:r>
              <w:rPr>
                <w:rFonts w:hint="eastAsia" w:ascii="宋体" w:hAnsi="宋体" w:eastAsia="宋体" w:cs="宋体"/>
                <w:i w:val="0"/>
                <w:iCs w:val="0"/>
                <w:snapToGrid w:val="0"/>
                <w:color w:val="000000"/>
                <w:kern w:val="0"/>
                <w:sz w:val="21"/>
                <w:szCs w:val="21"/>
                <w:u w:val="none"/>
                <w:lang w:val="en-US" w:eastAsia="zh-CN" w:bidi="ar"/>
              </w:rPr>
              <w:t>20</w:t>
            </w:r>
          </w:p>
        </w:tc>
        <w:tc>
          <w:tcPr>
            <w:tcW w:w="946" w:type="dxa"/>
            <w:vAlign w:val="center"/>
          </w:tcPr>
          <w:p>
            <w:pPr>
              <w:keepNext w:val="0"/>
              <w:keepLines w:val="0"/>
              <w:widowControl/>
              <w:suppressLineNumbers w:val="0"/>
              <w:jc w:val="center"/>
              <w:textAlignment w:val="center"/>
              <w:rPr>
                <w:rFonts w:hint="default" w:ascii="宋体" w:hAnsi="宋体" w:eastAsia="宋体" w:cs="宋体"/>
                <w:i w:val="0"/>
                <w:iCs w:val="0"/>
                <w:snapToGrid w:val="0"/>
                <w:color w:val="000000"/>
                <w:kern w:val="0"/>
                <w:sz w:val="21"/>
                <w:szCs w:val="21"/>
                <w:highlight w:val="none"/>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0</w:t>
            </w:r>
          </w:p>
        </w:tc>
        <w:tc>
          <w:tcPr>
            <w:tcW w:w="947" w:type="dxa"/>
            <w:vAlign w:val="center"/>
          </w:tcPr>
          <w:p>
            <w:pPr>
              <w:keepNext w:val="0"/>
              <w:keepLines w:val="0"/>
              <w:widowControl/>
              <w:suppressLineNumbers w:val="0"/>
              <w:jc w:val="center"/>
              <w:textAlignment w:val="top"/>
              <w:rPr>
                <w:rFonts w:hint="default" w:ascii="宋体" w:hAnsi="宋体" w:eastAsia="Arial" w:cs="宋体"/>
                <w:snapToGrid w:val="0"/>
                <w:color w:val="000000"/>
                <w:kern w:val="0"/>
                <w:sz w:val="21"/>
                <w:szCs w:val="21"/>
                <w:highlight w:val="yellow"/>
                <w:lang w:val="en-US" w:eastAsia="zh-CN"/>
              </w:rPr>
            </w:pPr>
            <w:r>
              <w:rPr>
                <w:rFonts w:hint="eastAsia" w:ascii="宋体" w:hAnsi="宋体" w:eastAsia="宋体" w:cs="宋体"/>
                <w:i w:val="0"/>
                <w:iCs w:val="0"/>
                <w:snapToGrid w:val="0"/>
                <w:color w:val="000000"/>
                <w:kern w:val="0"/>
                <w:sz w:val="21"/>
                <w:szCs w:val="21"/>
                <w:u w:val="none"/>
                <w:lang w:val="en-US" w:eastAsia="zh-CN" w:bidi="ar"/>
              </w:rPr>
              <w:t>-20</w:t>
            </w:r>
          </w:p>
        </w:tc>
        <w:tc>
          <w:tcPr>
            <w:tcW w:w="951" w:type="dxa"/>
            <w:vAlign w:val="center"/>
          </w:tcPr>
          <w:p>
            <w:pPr>
              <w:keepNext w:val="0"/>
              <w:keepLines w:val="0"/>
              <w:widowControl/>
              <w:suppressLineNumbers w:val="0"/>
              <w:jc w:val="center"/>
              <w:textAlignment w:val="top"/>
              <w:rPr>
                <w:rFonts w:hint="default" w:ascii="宋体" w:hAnsi="宋体" w:eastAsia="Arial" w:cs="宋体"/>
                <w:snapToGrid w:val="0"/>
                <w:color w:val="000000"/>
                <w:kern w:val="0"/>
                <w:sz w:val="21"/>
                <w:szCs w:val="21"/>
                <w:highlight w:val="yellow"/>
                <w:lang w:val="en-US" w:eastAsia="zh-CN"/>
              </w:rPr>
            </w:pPr>
            <w:r>
              <w:rPr>
                <w:rFonts w:hint="eastAsia" w:ascii="宋体" w:hAnsi="宋体" w:eastAsia="宋体" w:cs="宋体"/>
                <w:i w:val="0"/>
                <w:iCs w:val="0"/>
                <w:snapToGrid w:val="0"/>
                <w:color w:val="000000"/>
                <w:kern w:val="0"/>
                <w:sz w:val="21"/>
                <w:szCs w:val="21"/>
                <w:u w:val="none"/>
                <w:lang w:val="en-US" w:eastAsia="zh-CN" w:bidi="ar"/>
              </w:rPr>
              <w:t>-100.00%</w:t>
            </w:r>
          </w:p>
        </w:tc>
        <w:tc>
          <w:tcPr>
            <w:tcW w:w="946" w:type="dxa"/>
            <w:vAlign w:val="center"/>
          </w:tcPr>
          <w:p>
            <w:pPr>
              <w:keepNext w:val="0"/>
              <w:keepLines w:val="0"/>
              <w:widowControl/>
              <w:suppressLineNumbers w:val="0"/>
              <w:jc w:val="center"/>
              <w:textAlignment w:val="top"/>
              <w:rPr>
                <w:rFonts w:hint="default" w:ascii="宋体" w:hAnsi="宋体" w:eastAsia="Arial" w:cs="宋体"/>
                <w:snapToGrid w:val="0"/>
                <w:color w:val="000000"/>
                <w:kern w:val="0"/>
                <w:sz w:val="21"/>
                <w:szCs w:val="21"/>
                <w:highlight w:val="yellow"/>
                <w:lang w:val="en-US" w:eastAsia="zh-CN"/>
              </w:rPr>
            </w:pPr>
            <w:r>
              <w:rPr>
                <w:rFonts w:hint="eastAsia" w:ascii="宋体" w:hAnsi="宋体" w:eastAsia="宋体" w:cs="宋体"/>
                <w:i w:val="0"/>
                <w:iCs w:val="0"/>
                <w:snapToGrid w:val="0"/>
                <w:color w:val="000000"/>
                <w:kern w:val="0"/>
                <w:sz w:val="21"/>
                <w:szCs w:val="21"/>
                <w:u w:val="none"/>
                <w:lang w:val="en-US" w:eastAsia="zh-CN" w:bidi="ar"/>
              </w:rPr>
              <w:t>0</w:t>
            </w:r>
          </w:p>
        </w:tc>
        <w:tc>
          <w:tcPr>
            <w:tcW w:w="951" w:type="dxa"/>
            <w:vAlign w:val="center"/>
          </w:tcPr>
          <w:p>
            <w:pPr>
              <w:keepNext w:val="0"/>
              <w:keepLines w:val="0"/>
              <w:widowControl/>
              <w:suppressLineNumbers w:val="0"/>
              <w:jc w:val="center"/>
              <w:textAlignment w:val="top"/>
              <w:rPr>
                <w:rFonts w:hint="eastAsia" w:ascii="宋体" w:hAnsi="宋体" w:eastAsia="Arial" w:cs="宋体"/>
                <w:snapToGrid w:val="0"/>
                <w:color w:val="000000" w:themeColor="text1"/>
                <w:kern w:val="0"/>
                <w:sz w:val="21"/>
                <w:szCs w:val="21"/>
                <w:highlight w:val="yellow"/>
                <w:lang w:val="en-US" w:eastAsia="zh-CN"/>
                <w14:textFill>
                  <w14:solidFill>
                    <w14:schemeClr w14:val="tx1"/>
                  </w14:solidFill>
                </w14:textFill>
              </w:rPr>
            </w:pPr>
            <w:r>
              <w:rPr>
                <w:rFonts w:hint="eastAsia" w:ascii="宋体" w:hAnsi="宋体" w:eastAsia="宋体" w:cs="宋体"/>
                <w:i w:val="0"/>
                <w:iCs w:val="0"/>
                <w:snapToGrid w:val="0"/>
                <w:color w:val="000000"/>
                <w:kern w:val="0"/>
                <w:sz w:val="21"/>
                <w:szCs w:val="21"/>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46"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highlight w:val="none"/>
                <w:vertAlign w:val="baseline"/>
                <w:lang w:val="en-US" w:eastAsia="zh-CN"/>
              </w:rPr>
            </w:pPr>
          </w:p>
        </w:tc>
        <w:tc>
          <w:tcPr>
            <w:tcW w:w="140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highlight w:val="none"/>
                <w:vertAlign w:val="baseline"/>
                <w:lang w:val="en-US" w:eastAsia="zh-CN"/>
              </w:rPr>
            </w:pPr>
            <w:r>
              <w:rPr>
                <w:rFonts w:hint="eastAsia" w:ascii="宋体" w:hAnsi="宋体" w:cs="宋体"/>
                <w:b/>
                <w:bCs/>
                <w:szCs w:val="21"/>
                <w:highlight w:val="none"/>
              </w:rPr>
              <w:t>小计</w:t>
            </w:r>
          </w:p>
        </w:tc>
        <w:tc>
          <w:tcPr>
            <w:tcW w:w="888" w:type="dxa"/>
            <w:vAlign w:val="center"/>
          </w:tcPr>
          <w:p>
            <w:pPr>
              <w:keepNext w:val="0"/>
              <w:keepLines w:val="0"/>
              <w:widowControl/>
              <w:suppressLineNumbers w:val="0"/>
              <w:jc w:val="center"/>
              <w:textAlignment w:val="top"/>
              <w:rPr>
                <w:rFonts w:hint="default"/>
                <w:highlight w:val="none"/>
                <w:vertAlign w:val="baseline"/>
                <w:lang w:val="en-US" w:eastAsia="zh-CN"/>
              </w:rPr>
            </w:pPr>
            <w:r>
              <w:rPr>
                <w:rFonts w:hint="eastAsia" w:ascii="宋体" w:hAnsi="宋体" w:eastAsia="宋体" w:cs="宋体"/>
                <w:b/>
                <w:bCs/>
                <w:i w:val="0"/>
                <w:iCs w:val="0"/>
                <w:snapToGrid w:val="0"/>
                <w:color w:val="000000"/>
                <w:kern w:val="0"/>
                <w:sz w:val="21"/>
                <w:szCs w:val="21"/>
                <w:u w:val="none"/>
                <w:lang w:val="en-US" w:eastAsia="zh-CN" w:bidi="ar"/>
              </w:rPr>
              <w:t>26.97</w:t>
            </w:r>
          </w:p>
        </w:tc>
        <w:tc>
          <w:tcPr>
            <w:tcW w:w="946" w:type="dxa"/>
            <w:vAlign w:val="center"/>
          </w:tcPr>
          <w:p>
            <w:pPr>
              <w:keepNext w:val="0"/>
              <w:keepLines w:val="0"/>
              <w:widowControl/>
              <w:suppressLineNumbers w:val="0"/>
              <w:jc w:val="center"/>
              <w:textAlignment w:val="top"/>
              <w:rPr>
                <w:rFonts w:hint="eastAsia" w:ascii="宋体" w:hAnsi="宋体" w:eastAsia="宋体" w:cs="宋体"/>
                <w:snapToGrid w:val="0"/>
                <w:color w:val="000000"/>
                <w:kern w:val="0"/>
                <w:sz w:val="21"/>
                <w:szCs w:val="21"/>
                <w:highlight w:val="none"/>
                <w:lang w:val="en-US" w:eastAsia="zh-CN"/>
              </w:rPr>
            </w:pPr>
            <w:r>
              <w:rPr>
                <w:rFonts w:hint="eastAsia" w:ascii="宋体" w:hAnsi="宋体" w:eastAsia="宋体" w:cs="宋体"/>
                <w:b/>
                <w:bCs/>
                <w:i w:val="0"/>
                <w:iCs w:val="0"/>
                <w:snapToGrid w:val="0"/>
                <w:color w:val="000000"/>
                <w:kern w:val="0"/>
                <w:sz w:val="21"/>
                <w:szCs w:val="21"/>
                <w:u w:val="none"/>
                <w:lang w:val="en-US" w:eastAsia="zh-CN" w:bidi="ar"/>
              </w:rPr>
              <w:t>160</w:t>
            </w:r>
          </w:p>
        </w:tc>
        <w:tc>
          <w:tcPr>
            <w:tcW w:w="946" w:type="dxa"/>
            <w:vAlign w:val="center"/>
          </w:tcPr>
          <w:p>
            <w:pPr>
              <w:keepNext w:val="0"/>
              <w:keepLines w:val="0"/>
              <w:widowControl/>
              <w:suppressLineNumbers w:val="0"/>
              <w:jc w:val="center"/>
              <w:textAlignment w:val="top"/>
              <w:rPr>
                <w:rFonts w:hint="default" w:ascii="宋体" w:hAnsi="宋体" w:eastAsia="宋体" w:cs="宋体"/>
                <w:i w:val="0"/>
                <w:iCs w:val="0"/>
                <w:snapToGrid w:val="0"/>
                <w:color w:val="000000"/>
                <w:kern w:val="0"/>
                <w:sz w:val="21"/>
                <w:szCs w:val="21"/>
                <w:highlight w:val="none"/>
                <w:u w:val="none"/>
                <w:lang w:val="en-US" w:eastAsia="zh-CN" w:bidi="ar"/>
              </w:rPr>
            </w:pPr>
            <w:r>
              <w:rPr>
                <w:rFonts w:hint="eastAsia" w:ascii="宋体" w:hAnsi="宋体" w:eastAsia="宋体" w:cs="宋体"/>
                <w:b/>
                <w:bCs/>
                <w:i w:val="0"/>
                <w:iCs w:val="0"/>
                <w:snapToGrid w:val="0"/>
                <w:color w:val="000000"/>
                <w:kern w:val="0"/>
                <w:sz w:val="21"/>
                <w:szCs w:val="21"/>
                <w:u w:val="none"/>
                <w:lang w:val="en-US" w:eastAsia="zh-CN" w:bidi="ar"/>
              </w:rPr>
              <w:t>52.79</w:t>
            </w:r>
          </w:p>
        </w:tc>
        <w:tc>
          <w:tcPr>
            <w:tcW w:w="947" w:type="dxa"/>
            <w:vAlign w:val="center"/>
          </w:tcPr>
          <w:p>
            <w:pPr>
              <w:keepNext w:val="0"/>
              <w:keepLines w:val="0"/>
              <w:widowControl/>
              <w:suppressLineNumbers w:val="0"/>
              <w:jc w:val="center"/>
              <w:textAlignment w:val="top"/>
              <w:rPr>
                <w:rFonts w:hint="default" w:ascii="宋体" w:hAnsi="宋体" w:eastAsia="Arial" w:cs="宋体"/>
                <w:snapToGrid w:val="0"/>
                <w:color w:val="000000"/>
                <w:kern w:val="0"/>
                <w:sz w:val="21"/>
                <w:szCs w:val="21"/>
                <w:highlight w:val="yellow"/>
                <w:lang w:val="en-US" w:eastAsia="zh-CN"/>
              </w:rPr>
            </w:pPr>
            <w:r>
              <w:rPr>
                <w:rFonts w:hint="eastAsia" w:ascii="宋体" w:hAnsi="宋体" w:eastAsia="宋体" w:cs="宋体"/>
                <w:b/>
                <w:bCs/>
                <w:i w:val="0"/>
                <w:iCs w:val="0"/>
                <w:snapToGrid w:val="0"/>
                <w:color w:val="000000"/>
                <w:kern w:val="0"/>
                <w:sz w:val="21"/>
                <w:szCs w:val="21"/>
                <w:u w:val="none"/>
                <w:lang w:val="en-US" w:eastAsia="zh-CN" w:bidi="ar"/>
              </w:rPr>
              <w:t>-107.21</w:t>
            </w:r>
          </w:p>
        </w:tc>
        <w:tc>
          <w:tcPr>
            <w:tcW w:w="951" w:type="dxa"/>
            <w:vAlign w:val="center"/>
          </w:tcPr>
          <w:p>
            <w:pPr>
              <w:keepNext w:val="0"/>
              <w:keepLines w:val="0"/>
              <w:widowControl/>
              <w:suppressLineNumbers w:val="0"/>
              <w:jc w:val="center"/>
              <w:textAlignment w:val="top"/>
              <w:rPr>
                <w:rFonts w:hint="eastAsia" w:ascii="宋体" w:hAnsi="宋体" w:eastAsia="Arial" w:cs="宋体"/>
                <w:snapToGrid w:val="0"/>
                <w:color w:val="000000"/>
                <w:kern w:val="0"/>
                <w:sz w:val="21"/>
                <w:szCs w:val="21"/>
                <w:highlight w:val="yellow"/>
                <w:lang w:val="en-US" w:eastAsia="zh-CN"/>
              </w:rPr>
            </w:pPr>
            <w:r>
              <w:rPr>
                <w:rFonts w:hint="eastAsia" w:ascii="宋体" w:hAnsi="宋体" w:eastAsia="宋体" w:cs="宋体"/>
                <w:b/>
                <w:bCs/>
                <w:i w:val="0"/>
                <w:iCs w:val="0"/>
                <w:snapToGrid w:val="0"/>
                <w:color w:val="000000"/>
                <w:kern w:val="0"/>
                <w:sz w:val="21"/>
                <w:szCs w:val="21"/>
                <w:u w:val="none"/>
                <w:lang w:val="en-US" w:eastAsia="zh-CN" w:bidi="ar"/>
              </w:rPr>
              <w:t>-67.01%</w:t>
            </w:r>
          </w:p>
        </w:tc>
        <w:tc>
          <w:tcPr>
            <w:tcW w:w="946" w:type="dxa"/>
            <w:vAlign w:val="center"/>
          </w:tcPr>
          <w:p>
            <w:pPr>
              <w:keepNext w:val="0"/>
              <w:keepLines w:val="0"/>
              <w:widowControl/>
              <w:suppressLineNumbers w:val="0"/>
              <w:jc w:val="center"/>
              <w:textAlignment w:val="top"/>
              <w:rPr>
                <w:rFonts w:hint="eastAsia" w:ascii="宋体" w:hAnsi="宋体" w:eastAsia="Arial" w:cs="宋体"/>
                <w:snapToGrid w:val="0"/>
                <w:color w:val="000000"/>
                <w:kern w:val="0"/>
                <w:sz w:val="21"/>
                <w:szCs w:val="21"/>
                <w:highlight w:val="yellow"/>
                <w:lang w:val="en-US" w:eastAsia="zh-CN"/>
              </w:rPr>
            </w:pPr>
            <w:r>
              <w:rPr>
                <w:rFonts w:hint="eastAsia" w:ascii="宋体" w:hAnsi="宋体" w:eastAsia="宋体" w:cs="宋体"/>
                <w:b/>
                <w:bCs/>
                <w:i w:val="0"/>
                <w:iCs w:val="0"/>
                <w:snapToGrid w:val="0"/>
                <w:color w:val="000000"/>
                <w:kern w:val="0"/>
                <w:sz w:val="21"/>
                <w:szCs w:val="21"/>
                <w:u w:val="none"/>
                <w:lang w:val="en-US" w:eastAsia="zh-CN" w:bidi="ar"/>
              </w:rPr>
              <w:t>25.82</w:t>
            </w:r>
          </w:p>
        </w:tc>
        <w:tc>
          <w:tcPr>
            <w:tcW w:w="951" w:type="dxa"/>
            <w:vAlign w:val="center"/>
          </w:tcPr>
          <w:p>
            <w:pPr>
              <w:keepNext w:val="0"/>
              <w:keepLines w:val="0"/>
              <w:widowControl/>
              <w:suppressLineNumbers w:val="0"/>
              <w:jc w:val="center"/>
              <w:textAlignment w:val="top"/>
              <w:rPr>
                <w:rFonts w:hint="eastAsia" w:ascii="宋体" w:hAnsi="宋体" w:eastAsia="Arial" w:cs="宋体"/>
                <w:snapToGrid w:val="0"/>
                <w:color w:val="000000" w:themeColor="text1"/>
                <w:kern w:val="0"/>
                <w:sz w:val="21"/>
                <w:szCs w:val="21"/>
                <w:highlight w:val="yellow"/>
                <w:lang w:val="en-US" w:eastAsia="zh-CN"/>
                <w14:textFill>
                  <w14:solidFill>
                    <w14:schemeClr w14:val="tx1"/>
                  </w14:solidFill>
                </w14:textFill>
              </w:rPr>
            </w:pPr>
            <w:r>
              <w:rPr>
                <w:rFonts w:hint="eastAsia" w:ascii="宋体" w:hAnsi="宋体" w:eastAsia="宋体" w:cs="宋体"/>
                <w:b/>
                <w:bCs/>
                <w:i w:val="0"/>
                <w:iCs w:val="0"/>
                <w:snapToGrid w:val="0"/>
                <w:color w:val="000000"/>
                <w:kern w:val="0"/>
                <w:sz w:val="21"/>
                <w:szCs w:val="21"/>
                <w:u w:val="none"/>
                <w:lang w:val="en-US" w:eastAsia="zh-CN" w:bidi="ar"/>
              </w:rPr>
              <w:t>95.74%</w:t>
            </w:r>
          </w:p>
        </w:tc>
      </w:tr>
    </w:tbl>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由表二可知，</w:t>
      </w:r>
      <w:r>
        <w:rPr>
          <w:rFonts w:hint="eastAsia" w:ascii="仿宋_GB2312" w:hAnsi="仿宋_GB2312" w:eastAsia="仿宋_GB2312" w:cs="仿宋_GB2312"/>
          <w:color w:val="auto"/>
          <w:sz w:val="32"/>
          <w:szCs w:val="32"/>
          <w:highlight w:val="none"/>
          <w:lang w:eastAsia="zh-CN"/>
        </w:rPr>
        <w:t>技师学院</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年“三公”经费预算数</w:t>
      </w:r>
      <w:r>
        <w:rPr>
          <w:rFonts w:hint="eastAsia" w:ascii="仿宋_GB2312" w:hAnsi="仿宋_GB2312" w:eastAsia="仿宋_GB2312" w:cs="仿宋_GB2312"/>
          <w:color w:val="auto"/>
          <w:sz w:val="32"/>
          <w:szCs w:val="32"/>
          <w:highlight w:val="none"/>
          <w:lang w:val="en-US" w:eastAsia="zh-CN"/>
        </w:rPr>
        <w:t>160</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00</w:t>
      </w:r>
      <w:r>
        <w:rPr>
          <w:rFonts w:hint="eastAsia" w:ascii="仿宋_GB2312" w:hAnsi="仿宋_GB2312" w:eastAsia="仿宋_GB2312" w:cs="仿宋_GB2312"/>
          <w:color w:val="auto"/>
          <w:sz w:val="32"/>
          <w:szCs w:val="32"/>
          <w:highlight w:val="none"/>
        </w:rPr>
        <w:t>万元，决算支出52.80万元，完成预算的</w:t>
      </w:r>
      <w:r>
        <w:rPr>
          <w:rFonts w:hint="eastAsia" w:ascii="仿宋_GB2312" w:hAnsi="仿宋_GB2312" w:eastAsia="仿宋_GB2312" w:cs="仿宋_GB2312"/>
          <w:color w:val="auto"/>
          <w:sz w:val="32"/>
          <w:szCs w:val="32"/>
          <w:highlight w:val="none"/>
          <w:lang w:val="en-US" w:eastAsia="zh-CN"/>
        </w:rPr>
        <w:t>32.99</w:t>
      </w:r>
      <w:r>
        <w:rPr>
          <w:rFonts w:hint="eastAsia" w:ascii="仿宋_GB2312" w:hAnsi="仿宋_GB2312" w:eastAsia="仿宋_GB2312" w:cs="仿宋_GB2312"/>
          <w:color w:val="auto"/>
          <w:sz w:val="32"/>
          <w:szCs w:val="32"/>
          <w:highlight w:val="none"/>
        </w:rPr>
        <w:t>%。预决算差异较大的原因是认真贯彻落实厉行节约各项要求，进一步从严控制“三公”经费支出。</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年决算支出较上年度决算</w:t>
      </w:r>
      <w:r>
        <w:rPr>
          <w:rFonts w:hint="eastAsia" w:ascii="仿宋_GB2312" w:hAnsi="仿宋_GB2312" w:eastAsia="仿宋_GB2312" w:cs="仿宋_GB2312"/>
          <w:color w:val="auto"/>
          <w:sz w:val="32"/>
          <w:szCs w:val="32"/>
          <w:highlight w:val="none"/>
          <w:lang w:val="en-US" w:eastAsia="zh-CN"/>
        </w:rPr>
        <w:t>增加25.83</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val="en-US" w:eastAsia="zh-CN"/>
        </w:rPr>
        <w:t>增长95.77%</w:t>
      </w:r>
      <w:r>
        <w:rPr>
          <w:rFonts w:hint="eastAsia" w:ascii="仿宋_GB2312" w:hAnsi="仿宋_GB2312" w:eastAsia="仿宋_GB2312" w:cs="仿宋_GB2312"/>
          <w:color w:val="auto"/>
          <w:sz w:val="32"/>
          <w:szCs w:val="32"/>
          <w:highlight w:val="none"/>
        </w:rPr>
        <w:t>。其中：公务用车购置费</w:t>
      </w:r>
      <w:r>
        <w:rPr>
          <w:rFonts w:hint="eastAsia" w:ascii="仿宋_GB2312" w:hAnsi="仿宋_GB2312" w:eastAsia="仿宋_GB2312" w:cs="仿宋_GB2312"/>
          <w:color w:val="auto"/>
          <w:sz w:val="32"/>
          <w:szCs w:val="32"/>
          <w:highlight w:val="none"/>
          <w:lang w:val="en-US" w:eastAsia="zh-CN"/>
        </w:rPr>
        <w:t>增加19.12万元，</w:t>
      </w:r>
      <w:r>
        <w:rPr>
          <w:rFonts w:hint="eastAsia" w:ascii="仿宋_GB2312" w:hAnsi="仿宋_GB2312" w:eastAsia="仿宋_GB2312" w:cs="仿宋_GB2312"/>
          <w:color w:val="auto"/>
          <w:sz w:val="32"/>
          <w:szCs w:val="32"/>
          <w:highlight w:val="none"/>
        </w:rPr>
        <w:t>公务用车运行维护费</w:t>
      </w:r>
      <w:r>
        <w:rPr>
          <w:rFonts w:hint="eastAsia" w:ascii="仿宋_GB2312" w:hAnsi="仿宋_GB2312" w:eastAsia="仿宋_GB2312" w:cs="仿宋_GB2312"/>
          <w:color w:val="auto"/>
          <w:sz w:val="32"/>
          <w:szCs w:val="32"/>
          <w:highlight w:val="none"/>
          <w:lang w:val="en-US" w:eastAsia="zh-CN"/>
        </w:rPr>
        <w:t>增加11.30</w:t>
      </w:r>
      <w:r>
        <w:rPr>
          <w:rFonts w:hint="eastAsia" w:ascii="仿宋_GB2312" w:hAnsi="仿宋_GB2312" w:eastAsia="仿宋_GB2312" w:cs="仿宋_GB2312"/>
          <w:color w:val="auto"/>
          <w:sz w:val="32"/>
          <w:szCs w:val="32"/>
          <w:highlight w:val="none"/>
        </w:rPr>
        <w:t>万元、公务接待费减少</w:t>
      </w:r>
      <w:r>
        <w:rPr>
          <w:rFonts w:hint="eastAsia" w:ascii="仿宋_GB2312" w:hAnsi="仿宋_GB2312" w:eastAsia="仿宋_GB2312" w:cs="仿宋_GB2312"/>
          <w:color w:val="auto"/>
          <w:sz w:val="32"/>
          <w:szCs w:val="32"/>
          <w:highlight w:val="none"/>
          <w:lang w:val="en-US" w:eastAsia="zh-CN"/>
        </w:rPr>
        <w:t>4.60</w:t>
      </w:r>
      <w:r>
        <w:rPr>
          <w:rFonts w:hint="eastAsia" w:ascii="仿宋_GB2312" w:hAnsi="仿宋_GB2312" w:eastAsia="仿宋_GB2312" w:cs="仿宋_GB2312"/>
          <w:color w:val="auto"/>
          <w:sz w:val="32"/>
          <w:szCs w:val="32"/>
          <w:highlight w:val="none"/>
        </w:rPr>
        <w:t>万元、因公出国（境）减少0万元。“三公”经费支出</w:t>
      </w:r>
      <w:r>
        <w:rPr>
          <w:rFonts w:hint="eastAsia" w:ascii="仿宋_GB2312" w:hAnsi="仿宋_GB2312" w:eastAsia="仿宋_GB2312" w:cs="仿宋_GB2312"/>
          <w:color w:val="auto"/>
          <w:sz w:val="32"/>
          <w:szCs w:val="32"/>
          <w:highlight w:val="none"/>
          <w:lang w:val="en-US" w:eastAsia="zh-CN"/>
        </w:rPr>
        <w:t>增加</w:t>
      </w:r>
      <w:r>
        <w:rPr>
          <w:rFonts w:hint="eastAsia" w:ascii="仿宋_GB2312" w:hAnsi="仿宋_GB2312" w:eastAsia="仿宋_GB2312" w:cs="仿宋_GB2312"/>
          <w:color w:val="auto"/>
          <w:sz w:val="32"/>
          <w:szCs w:val="32"/>
          <w:highlight w:val="none"/>
        </w:rPr>
        <w:t>的主要原因是</w:t>
      </w:r>
      <w:r>
        <w:rPr>
          <w:rFonts w:hint="eastAsia" w:ascii="仿宋_GB2312" w:hAnsi="仿宋_GB2312" w:eastAsia="仿宋_GB2312" w:cs="仿宋_GB2312"/>
          <w:color w:val="auto"/>
          <w:sz w:val="32"/>
          <w:szCs w:val="32"/>
          <w:highlight w:val="none"/>
          <w:lang w:val="en-US" w:eastAsia="zh-CN"/>
        </w:rPr>
        <w:t>当年新购置了一辆价格为19.12万元的公务用车。</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321" w:firstLineChars="100"/>
        <w:jc w:val="both"/>
        <w:textAlignment w:val="baseline"/>
        <w:rPr>
          <w:rFonts w:hint="eastAsia" w:ascii="仿宋" w:hAnsi="仿宋" w:eastAsia="仿宋" w:cs="仿宋"/>
          <w:b/>
          <w:bCs/>
          <w:snapToGrid w:val="0"/>
          <w:color w:val="000000" w:themeColor="text1"/>
          <w:kern w:val="0"/>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kern w:val="0"/>
          <w:sz w:val="32"/>
          <w:szCs w:val="32"/>
          <w:highlight w:val="none"/>
          <w:lang w:val="en-US" w:eastAsia="zh-CN"/>
          <w14:textFill>
            <w14:solidFill>
              <w14:schemeClr w14:val="tx1"/>
            </w14:solidFill>
          </w14:textFill>
        </w:rPr>
        <w:t>（三）项目支出</w:t>
      </w:r>
    </w:p>
    <w:p>
      <w:pPr>
        <w:keepNext w:val="0"/>
        <w:keepLines w:val="0"/>
        <w:pageBreakBefore w:val="0"/>
        <w:widowControl/>
        <w:kinsoku w:val="0"/>
        <w:wordWrap/>
        <w:overflowPunct/>
        <w:topLinePunct w:val="0"/>
        <w:autoSpaceDE w:val="0"/>
        <w:autoSpaceDN w:val="0"/>
        <w:bidi w:val="0"/>
        <w:adjustRightInd w:val="0"/>
        <w:snapToGrid w:val="0"/>
        <w:spacing w:line="58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项目支出指单位为完成特定行政工作任务或事业发展目标发生的支出，包括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教学实训和学生管理经费</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eastAsia="仿宋_GB2312" w:cs="宋体"/>
          <w:color w:val="000000" w:themeColor="text1"/>
          <w:kern w:val="0"/>
          <w:sz w:val="32"/>
          <w:szCs w:val="32"/>
          <w:highlight w:val="none"/>
          <w:lang w:val="en-US" w:eastAsia="zh-CN" w:bidi="hi-IN"/>
          <w14:textFill>
            <w14:solidFill>
              <w14:schemeClr w14:val="tx1"/>
            </w14:solidFill>
          </w14:textFill>
        </w:rPr>
        <w:t>学院建设和发展支出、</w:t>
      </w:r>
      <w:r>
        <w:rPr>
          <w:rFonts w:hint="eastAsia" w:eastAsia="仿宋" w:cs="宋体"/>
          <w:color w:val="000000" w:themeColor="text1"/>
          <w:kern w:val="0"/>
          <w:sz w:val="32"/>
          <w:szCs w:val="32"/>
          <w:highlight w:val="none"/>
          <w:lang w:val="en-US" w:eastAsia="zh-CN" w:bidi="hi-IN"/>
          <w14:textFill>
            <w14:solidFill>
              <w14:schemeClr w14:val="tx1"/>
            </w14:solidFill>
          </w14:textFill>
        </w:rPr>
        <w:t>债务利息支出</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主要</w:t>
      </w:r>
      <w:r>
        <w:rPr>
          <w:rFonts w:hint="eastAsia" w:ascii="仿宋_GB2312" w:hAnsi="仿宋_GB2312" w:eastAsia="仿宋_GB2312" w:cs="仿宋_GB2312"/>
          <w:color w:val="000000" w:themeColor="text1"/>
          <w:sz w:val="32"/>
          <w:szCs w:val="32"/>
          <w:highlight w:val="none"/>
          <w14:textFill>
            <w14:solidFill>
              <w14:schemeClr w14:val="tx1"/>
            </w14:solidFill>
          </w14:textFill>
        </w:rPr>
        <w:t>项目资金管理情况分析</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（1）2022年公共实训基地专项债项目预算5,915.42万元，实际支出3,731.74万元，预算执行率63.08%。主要用于公共实训基地主体工程、设备购置等相关支出；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（2）2022年高技能人才培训基地配套设施建设专项债项目预算11,600.00万元，实际支出188.64万元，预算执行率1.63%。主要用于项目设计费等前期费用支出；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（3）债务利息支出预算1900.00万元，实际支出1,622.67万元，预算执行率85.40%。主要用于支付银行贷款利息和公共实训基地专项债项目利息。</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（4）数控机床装配与维修专业高技能人才培训基础能力建设项目投资预算600万元，其中，财政专项资金150万元。项目实际支出577.42万元，预算执行率96.24%。主要用于数控机床装配与维修综合技能实训。</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highlight w:val="none"/>
          <w:lang w:val="en-US" w:eastAsia="zh-CN"/>
          <w14:textFill>
            <w14:solidFill>
              <w14:schemeClr w14:val="tx1"/>
            </w14:solidFill>
          </w14:textFill>
        </w:rPr>
        <w:t>（5）计算机辅助设计与制造专业高技能人才培训基础能力建设项目投资总预算为350万元，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其中，财政专项资金300万元。项目实际支出438.68万元，预算执行率125.34%。主要用于计算机辅助设计与制造专业高技能实训。  </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（6）汽车钣金与涂装专业高技能人才培训基础能力建设项目</w:t>
      </w:r>
      <w:r>
        <w:rPr>
          <w:rFonts w:hint="eastAsia" w:ascii="仿宋_GB2312" w:hAnsi="仿宋_GB2312" w:eastAsia="仿宋_GB2312" w:cs="仿宋_GB2312"/>
          <w:snapToGrid w:val="0"/>
          <w:color w:val="000000" w:themeColor="text1"/>
          <w:kern w:val="0"/>
          <w:sz w:val="32"/>
          <w:szCs w:val="32"/>
          <w:highlight w:val="none"/>
          <w:lang w:val="en-US" w:eastAsia="zh-CN"/>
          <w14:textFill>
            <w14:solidFill>
              <w14:schemeClr w14:val="tx1"/>
            </w14:solidFill>
          </w14:textFill>
        </w:rPr>
        <w:t>投资总预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算为350万元，其中，财政专项资金300万元。项目实际支出351.71万元，预算执行率100.49%。主要用于汽车钣金与涂装专业高技能实训。  </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7）衡阳市2022年度3D打印技术应用专业高技能人才培训基础能力建设项目投资总预算为450万元，其中，财政专项资金300万元，已到位财政资金150万元。项目实际支出21.77万元，预算执行率4.84%。主要用于3D打印技术应用专业高技能实训前期费用。</w:t>
      </w:r>
    </w:p>
    <w:p>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600" w:lineRule="exact"/>
        <w:jc w:val="both"/>
        <w:textAlignment w:val="baseline"/>
        <w:rPr>
          <w:rFonts w:hint="eastAsia" w:eastAsia="黑体"/>
          <w:sz w:val="32"/>
          <w:szCs w:val="32"/>
          <w:lang w:val="en-US" w:eastAsia="zh-CN"/>
        </w:rPr>
      </w:pPr>
      <w:r>
        <w:rPr>
          <w:rFonts w:hint="eastAsia" w:eastAsia="黑体"/>
          <w:sz w:val="32"/>
          <w:szCs w:val="32"/>
          <w:lang w:val="en-US" w:eastAsia="zh-CN"/>
        </w:rPr>
        <w:t>三、2022年部门整体全口径收支情况</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2022年部门整体收入38,196.94万元。其中：2022年初资金结转结余7,033.80万元（含专项债资金和其他货币资金），一般公共预算收入19,550.14万元，高技能人才培训基地配套设施建设专项债项目收入11,600.00万元，专项债利息收入13.00万元。</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2022年部门整体支出24,292.17万元。其中：2022年一般公共预算支出19,550.14万元，包括人员经费、日常公用经费及建设支出17,479.04万元，偿还银行贷款利息和专项债利息支出1622.67万元，偿还（减少）银行贷款本金448.43万元；2022年专项债资金支出3920.38万元，专项债手续费支出0.09万元；2022年偿还（减少）银行贷款本金821.57万元；2022年末资金结转结余13,904.76万元（含专项债资金和其他货币资金）。</w:t>
      </w:r>
    </w:p>
    <w:p>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600" w:lineRule="exact"/>
        <w:jc w:val="both"/>
        <w:textAlignment w:val="baseline"/>
        <w:rPr>
          <w:rFonts w:hint="eastAsia" w:eastAsia="黑体"/>
          <w:sz w:val="32"/>
          <w:szCs w:val="32"/>
          <w:lang w:val="en-US" w:eastAsia="zh-CN"/>
        </w:rPr>
      </w:pPr>
      <w:r>
        <w:rPr>
          <w:rFonts w:hint="eastAsia" w:eastAsia="黑体"/>
          <w:sz w:val="32"/>
          <w:szCs w:val="32"/>
          <w:lang w:val="en-US" w:eastAsia="zh-CN"/>
        </w:rPr>
        <w:t>四、部门项目组织实施情况</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321" w:firstLineChars="100"/>
        <w:jc w:val="both"/>
        <w:textAlignment w:val="baseline"/>
        <w:rPr>
          <w:rFonts w:hint="eastAsia" w:ascii="仿宋" w:hAnsi="仿宋" w:eastAsia="仿宋" w:cs="仿宋"/>
          <w:b/>
          <w:bCs/>
          <w:snapToGrid w:val="0"/>
          <w:color w:val="000000" w:themeColor="text1"/>
          <w:kern w:val="0"/>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kern w:val="0"/>
          <w:sz w:val="32"/>
          <w:szCs w:val="32"/>
          <w:highlight w:val="none"/>
          <w:lang w:val="en-US" w:eastAsia="zh-CN"/>
          <w14:textFill>
            <w14:solidFill>
              <w14:schemeClr w14:val="tx1"/>
            </w14:solidFill>
          </w14:textFill>
        </w:rPr>
        <w:t>（一）部门管理制度及执行情况</w:t>
      </w:r>
    </w:p>
    <w:p>
      <w:pPr>
        <w:keepNext w:val="0"/>
        <w:keepLines w:val="0"/>
        <w:pageBreakBefore w:val="0"/>
        <w:widowControl w:val="0"/>
        <w:kinsoku/>
        <w:wordWrap/>
        <w:overflowPunct/>
        <w:topLinePunct/>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为健全各方面制度，完善治理体系，促进制度建设和治理效能更好转化融合，技师学院制定了《内部控制操作规程》，其中，制定了《预算管理办法》《收入管理办法》《经费支出管理办法》《采购管理办法》《资产管理办法》《建设项目管理》《建设项目资金管理》《合同业务管理办法》《科研项目管理办法》等管理制度，对预算、收支、采购、资产、项目、合同等经济业务进行了规范，对学院经济活动风险进行防范和管控。经现场评价核实，技师学院制度建设较为完善，部分制度执行效果有待加强。</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321" w:firstLineChars="100"/>
        <w:jc w:val="both"/>
        <w:textAlignment w:val="baseline"/>
        <w:rPr>
          <w:rFonts w:hint="eastAsia" w:ascii="仿宋" w:hAnsi="仿宋" w:eastAsia="仿宋" w:cs="仿宋"/>
          <w:b/>
          <w:bCs/>
          <w:snapToGrid w:val="0"/>
          <w:color w:val="000000" w:themeColor="text1"/>
          <w:kern w:val="0"/>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kern w:val="0"/>
          <w:sz w:val="32"/>
          <w:szCs w:val="32"/>
          <w:highlight w:val="none"/>
          <w:lang w:val="en-US" w:eastAsia="zh-CN"/>
          <w14:textFill>
            <w14:solidFill>
              <w14:schemeClr w14:val="tx1"/>
            </w14:solidFill>
          </w14:textFill>
        </w:rPr>
        <w:t>(二) 政府采购管理</w:t>
      </w:r>
    </w:p>
    <w:p>
      <w:pPr>
        <w:keepNext w:val="0"/>
        <w:keepLines w:val="0"/>
        <w:pageBreakBefore w:val="0"/>
        <w:widowControl w:val="0"/>
        <w:kinsoku/>
        <w:wordWrap/>
        <w:overflowPunct/>
        <w:topLinePunct/>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技师学院根据《中华人民共和国政府采购法》《中华人民共和国招标投标法》《教育部政府采购管理暂行办法》《衡阳市2020年政府集中采购目录及采购限额标准》制定了《采购管理办法》，对采购方式及采购程序作出了明确规定。</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2022年本部门政府采购预算总额7,630万元。在具体的实施执行中，</w:t>
      </w:r>
      <w:r>
        <w:rPr>
          <w:rFonts w:hint="eastAsia" w:ascii="仿宋_GB2312" w:hAnsi="仿宋_GB2312" w:eastAsia="仿宋_GB2312" w:cs="仿宋_GB2312"/>
          <w:color w:val="auto"/>
          <w:sz w:val="32"/>
          <w:szCs w:val="32"/>
          <w:highlight w:val="none"/>
          <w:lang w:val="en-US" w:eastAsia="zh-CN"/>
        </w:rPr>
        <w:t>2022年度技师学院实施公开招标、竞争性谈判的政府采购项目共19个项目，涉及中标金额达5,278.11万元，其中采购货物金额3,209.06万元，主要为公共实训基地视频会议室与多功能报告厅购置无纸化系统设备、工业4.0产教融合、创新实训室数字技能人才创新与实践实训室等:采购服务金额为1066.96 万元，采购服务为2022-2024年物业管理服务外包、学院2022-2023年度学生平险及实习责任保险:采购工程金额1,002.10万元，主要为高技能人才培训基地配套设施建设项目代建单位招标、健康养老项目、学院三塘校区老旧小区主体及附属设施改造项目。</w:t>
      </w:r>
    </w:p>
    <w:p>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600" w:lineRule="exact"/>
        <w:jc w:val="both"/>
        <w:textAlignment w:val="baseline"/>
        <w:rPr>
          <w:rFonts w:eastAsia="黑体"/>
          <w:sz w:val="32"/>
          <w:szCs w:val="32"/>
          <w:lang w:val="en-US" w:eastAsia="zh-CN"/>
        </w:rPr>
      </w:pPr>
      <w:r>
        <w:rPr>
          <w:rFonts w:hint="eastAsia" w:eastAsia="黑体"/>
          <w:sz w:val="32"/>
          <w:szCs w:val="32"/>
          <w:lang w:val="en-US" w:eastAsia="zh-CN"/>
        </w:rPr>
        <w:t>五</w:t>
      </w:r>
      <w:r>
        <w:rPr>
          <w:rFonts w:eastAsia="黑体"/>
          <w:sz w:val="32"/>
          <w:szCs w:val="32"/>
          <w:lang w:val="en-US" w:eastAsia="zh-CN"/>
        </w:rPr>
        <w:t>、主要绩效情况</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321" w:firstLineChars="100"/>
        <w:jc w:val="both"/>
        <w:textAlignment w:val="baseline"/>
        <w:rPr>
          <w:rFonts w:hint="eastAsia" w:ascii="仿宋_GB2312" w:hAnsi="仿宋_GB2312" w:eastAsia="仿宋_GB2312" w:cs="仿宋_GB2312"/>
          <w:b/>
          <w:bCs/>
          <w:snapToGrid w:val="0"/>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一</w:t>
      </w:r>
      <w:r>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b/>
          <w:bCs/>
          <w:snapToGrid w:val="0"/>
          <w:color w:val="000000" w:themeColor="text1"/>
          <w:kern w:val="0"/>
          <w:sz w:val="32"/>
          <w:szCs w:val="32"/>
          <w:highlight w:val="none"/>
          <w14:textFill>
            <w14:solidFill>
              <w14:schemeClr w14:val="tx1"/>
            </w14:solidFill>
          </w14:textFill>
        </w:rPr>
        <w:t>创新教学模式，实现产教融合与技能竞赛双管齐下</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1.</w:t>
      </w:r>
      <w:r>
        <w:rPr>
          <w:rFonts w:hint="eastAsia" w:ascii="仿宋_GB2312" w:hAnsi="仿宋_GB2312" w:eastAsia="仿宋_GB2312" w:cs="仿宋_GB2312"/>
          <w:b/>
          <w:bCs/>
          <w:snapToGrid w:val="0"/>
          <w:color w:val="000000" w:themeColor="text1"/>
          <w:kern w:val="0"/>
          <w:sz w:val="32"/>
          <w:szCs w:val="32"/>
          <w:highlight w:val="none"/>
          <w14:textFill>
            <w14:solidFill>
              <w14:schemeClr w14:val="tx1"/>
            </w14:solidFill>
          </w14:textFill>
        </w:rPr>
        <w:t>推动产教融合，强化协同育人</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学院大力推进人才培养模式改革，与东莞鑫耀模具有限公司按国家级标准建设产教融合实训基地，严格按企业用工标准进行实岗训练，目前可容纳约100人同时实训，明年将规模增加至500人。与深圳本色饰品共建“教学型工厂”并组建定向班，开展工学一体的产教融合人才培养，将企业产业链与学院模具、CAD设计、机械加工、电商直播等专业相结合，共同制定专业教学计划和人才培养方案，“教学型工厂”设有培训室、产品加工车间、实训车间、模具车间、产品设计室、产品展览室，目前已基本建设完成，总投资达1000</w:t>
      </w:r>
      <w:r>
        <w:rPr>
          <w:rFonts w:hint="eastAsia" w:ascii="仿宋_GB2312" w:hAnsi="仿宋_GB2312" w:eastAsia="仿宋_GB2312" w:cs="仿宋_GB2312"/>
          <w:snapToGrid w:val="0"/>
          <w:color w:val="000000" w:themeColor="text1"/>
          <w:kern w:val="0"/>
          <w:sz w:val="32"/>
          <w:szCs w:val="32"/>
          <w:highlight w:val="none"/>
          <w:lang w:val="en-US" w:eastAsia="zh-CN"/>
          <w14:textFill>
            <w14:solidFill>
              <w14:schemeClr w14:val="tx1"/>
            </w14:solidFill>
          </w14:textFill>
        </w:rPr>
        <w:t>.0</w:t>
      </w: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万元。此外，学院还与中国邮政、特变电工、奇瑞汽车、衡阳华菱钢管等8家优质企业签订深度校企合作协议，进一步探索校企协同育人新模式</w:t>
      </w:r>
      <w:r>
        <w:rPr>
          <w:rFonts w:hint="eastAsia" w:ascii="仿宋_GB2312" w:hAnsi="仿宋_GB2312" w:eastAsia="仿宋_GB2312" w:cs="仿宋_GB2312"/>
          <w:snapToGrid w:val="0"/>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学院紧贴市场需求，适应发展需要，积极调整专业结构，新开直播电商服务、幼儿保育、智能网联汽车技术应用等5个新兴专业，进一步拓宽了办学范围，为学生提供了更好地成才途径。</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2.坚持引育并重，建强师资队伍</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全年人才引进硕士研究生3人。公开招聘27人，其中硕士研究生16人。统筹安排77名教师下企业培训，扩大“双师型”教师队伍。参评技校教师系列正高级职称2人，高级职称2人。创新开展“传帮带”活动，对新进年轻教师建立一对一帮扶机制。成功申报2022年湖南省技工教育职业培训研究课题4个，其中重点课题1个</w:t>
      </w:r>
      <w:r>
        <w:rPr>
          <w:rFonts w:hint="eastAsia" w:ascii="仿宋_GB2312" w:hAnsi="仿宋_GB2312" w:eastAsia="仿宋_GB2312" w:cs="仿宋_GB2312"/>
          <w:snapToGrid w:val="0"/>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成功立项2022年度衡阳市社科基金项目4个，其中重点项目1个；组织教师参与2022年省职业教育与成人教育优秀论文评选和省技工教育省级教学成果奖评选活动，获一二三等奖各一个。组织安排624名教师参加相关业务培训，师资队伍的综合素质和教学能力得到进一步提高。</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3.</w:t>
      </w:r>
      <w:r>
        <w:rPr>
          <w:rFonts w:hint="eastAsia" w:ascii="仿宋_GB2312" w:hAnsi="仿宋_GB2312" w:eastAsia="仿宋_GB2312" w:cs="仿宋_GB2312"/>
          <w:b/>
          <w:bCs/>
          <w:snapToGrid w:val="0"/>
          <w:color w:val="000000" w:themeColor="text1"/>
          <w:kern w:val="0"/>
          <w:sz w:val="32"/>
          <w:szCs w:val="32"/>
          <w:highlight w:val="none"/>
          <w14:textFill>
            <w14:solidFill>
              <w14:schemeClr w14:val="tx1"/>
            </w14:solidFill>
          </w14:textFill>
        </w:rPr>
        <w:t>坚持技能特色，突出竞赛引领</w:t>
      </w:r>
      <w:r>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t>。</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学院坚持以赛促教、以赛促学，以赛促改，教学质量显著提升，竞赛成绩取得历史性突破。2022年共获得国家级奖项5个，省级奖项130个，市级奖项16个。特别是在湖南省第一届职业技能大赛上，学院共派出37名选手，参加26个项目，斩获5金8银5铜以及16个优胜奖的优异成绩，在全省参赛院校中奖项总数第一，金牌总数第二，再一次刷新了学院竞赛成绩历史纪录。</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321" w:firstLineChars="100"/>
        <w:jc w:val="both"/>
        <w:textAlignment w:val="baseline"/>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二</w:t>
      </w:r>
      <w:r>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t>）促进招生就业，实现办学渠道与就业工作同频共振</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1.</w:t>
      </w:r>
      <w:r>
        <w:rPr>
          <w:rFonts w:hint="eastAsia" w:ascii="仿宋_GB2312" w:hAnsi="仿宋_GB2312" w:eastAsia="仿宋_GB2312" w:cs="仿宋_GB2312"/>
          <w:b/>
          <w:bCs/>
          <w:snapToGrid w:val="0"/>
          <w:color w:val="000000" w:themeColor="text1"/>
          <w:kern w:val="0"/>
          <w:sz w:val="32"/>
          <w:szCs w:val="32"/>
          <w:highlight w:val="none"/>
          <w14:textFill>
            <w14:solidFill>
              <w14:schemeClr w14:val="tx1"/>
            </w14:solidFill>
          </w14:textFill>
        </w:rPr>
        <w:t>招生工作打开“新局面”</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一年来，学院克服了对技工院校和技能教育的各种恶意诋毁、歪曲宣传，圆满完成了全年招生计划，共计招生3023人，各项数据创近年来新高。首创“3+3”预备技师班培养模式，为招生工作拓宽了生源途径。全面消除了小班现象，生源结构进一步优化，严格执行择优录取要求，生源质量进一步提高。</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2.</w:t>
      </w:r>
      <w:r>
        <w:rPr>
          <w:rFonts w:hint="eastAsia" w:ascii="仿宋_GB2312" w:hAnsi="仿宋_GB2312" w:eastAsia="仿宋_GB2312" w:cs="仿宋_GB2312"/>
          <w:b/>
          <w:bCs/>
          <w:snapToGrid w:val="0"/>
          <w:color w:val="000000" w:themeColor="text1"/>
          <w:kern w:val="0"/>
          <w:sz w:val="32"/>
          <w:szCs w:val="32"/>
          <w:highlight w:val="none"/>
          <w14:textFill>
            <w14:solidFill>
              <w14:schemeClr w14:val="tx1"/>
            </w14:solidFill>
          </w14:textFill>
        </w:rPr>
        <w:t>学生就业呈现“新态势”</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学院精准研判今年就业形势，坚持以服务湖南省内、衡阳本地经济为主，积极对接白沙、松木、高新等园区以及衡州大道数字经济走廊相关企业</w:t>
      </w:r>
      <w:r>
        <w:rPr>
          <w:rFonts w:hint="eastAsia" w:ascii="仿宋_GB2312" w:hAnsi="仿宋_GB2312" w:eastAsia="仿宋_GB2312" w:cs="仿宋_GB2312"/>
          <w:snapToGrid w:val="0"/>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先后与特变电工、南岳电控、衡阳钢管等本地名优企业开展校企合作，为就业工作奠定了较好的基础。本年度毕业2352人，初次就业2312人，就业率达98.3%，其中本地占比44.65%</w:t>
      </w:r>
      <w:r>
        <w:rPr>
          <w:rFonts w:hint="eastAsia" w:ascii="仿宋_GB2312" w:hAnsi="仿宋_GB2312" w:eastAsia="仿宋_GB2312" w:cs="仿宋_GB2312"/>
          <w:snapToGrid w:val="0"/>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长三角占比14.37%，珠三角占比24.49%，专业对口率88.61%</w:t>
      </w:r>
      <w:r>
        <w:rPr>
          <w:rFonts w:hint="eastAsia" w:ascii="仿宋_GB2312" w:hAnsi="仿宋_GB2312" w:eastAsia="仿宋_GB2312" w:cs="仿宋_GB2312"/>
          <w:snapToGrid w:val="0"/>
          <w:color w:val="000000" w:themeColor="text1"/>
          <w:kern w:val="0"/>
          <w:sz w:val="32"/>
          <w:szCs w:val="32"/>
          <w:highlight w:val="none"/>
          <w:lang w:eastAsia="zh-CN"/>
          <w14:textFill>
            <w14:solidFill>
              <w14:schemeClr w14:val="tx1"/>
            </w14:solidFill>
          </w14:textFill>
        </w:rPr>
        <w:t>。</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321" w:firstLineChars="100"/>
        <w:jc w:val="both"/>
        <w:textAlignment w:val="baseline"/>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三</w:t>
      </w:r>
      <w:r>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t>）积极多维拓展，实现技能培训和项目建设多点开花</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1.</w:t>
      </w:r>
      <w:r>
        <w:rPr>
          <w:rFonts w:hint="eastAsia" w:ascii="仿宋_GB2312" w:hAnsi="仿宋_GB2312" w:eastAsia="仿宋_GB2312" w:cs="仿宋_GB2312"/>
          <w:b/>
          <w:bCs/>
          <w:snapToGrid w:val="0"/>
          <w:color w:val="000000" w:themeColor="text1"/>
          <w:kern w:val="0"/>
          <w:sz w:val="32"/>
          <w:szCs w:val="32"/>
          <w:highlight w:val="none"/>
          <w14:textFill>
            <w14:solidFill>
              <w14:schemeClr w14:val="tx1"/>
            </w14:solidFill>
          </w14:textFill>
        </w:rPr>
        <w:t>技能培训成绩喜人</w:t>
      </w:r>
    </w:p>
    <w:p>
      <w:pPr>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今年来，学院承办湖南省第三届教师职业能力大赛、2022年衡阳市考试录用公务员笔试、湖南省2022年度一级建造师资格考试等各类省市级比赛和大型考试7次。开展吐鲁番未就业大学生创业培训115人，鄯善县妇女干部培训45人，不仅得到了参与学员的认可，更得到了吐鲁番市和鄯善县相关领导的称赞。与市人社局共同举办专业技术人员继续教育培训、劳动关系协调员培训等共5232人次，取得良好培训效果，获得市人社局的肯定。积极主动与衡阳鸿涛机械加工有限公司、衡阳鸿菱石油管材有限责任公司、王一实业集团、衡阳万达等30家企业联系对接，认真组织开展技能等级认定，全年共培训认定17022人次。学院与市农委、市农机局、市乡村振兴局、市妇联、市委组织部远教中心、市移民局等单位持续加强合作，拓宽培训渠道和范围，对外交流和社会影响力进一步扩大，培训品牌逐渐形成。</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仿宋_GB2312" w:hAnsi="仿宋_GB2312" w:eastAsia="仿宋_GB2312" w:cs="仿宋_GB2312"/>
          <w:b/>
          <w:bCs/>
          <w:snapToGrid w:val="0"/>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2.</w:t>
      </w:r>
      <w:r>
        <w:rPr>
          <w:rFonts w:hint="eastAsia" w:ascii="仿宋_GB2312" w:hAnsi="仿宋_GB2312" w:eastAsia="仿宋_GB2312" w:cs="仿宋_GB2312"/>
          <w:b/>
          <w:bCs/>
          <w:snapToGrid w:val="0"/>
          <w:color w:val="000000" w:themeColor="text1"/>
          <w:kern w:val="0"/>
          <w:sz w:val="32"/>
          <w:szCs w:val="32"/>
          <w:highlight w:val="none"/>
          <w14:textFill>
            <w14:solidFill>
              <w14:schemeClr w14:val="tx1"/>
            </w14:solidFill>
          </w14:textFill>
        </w:rPr>
        <w:t>项目建设硕果累累</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highlight w:val="none"/>
          <w14:textFill>
            <w14:solidFill>
              <w14:schemeClr w14:val="tx1"/>
            </w14:solidFill>
          </w14:textFill>
        </w:rPr>
        <w:t>学院成功申报衡阳技师学院高技能人才实训基地配套设施建设项目、衡阳市技能大师工作室（六个工种）建设项目等4个市级项目；成功申报湖南省优质技工院校建设项目、湖南省优质技工教育专业建设项目等7个省级项目；成功申报中央财政贴息贷款项目、国家级高技能人才培训基地建设项目等3个国家级项目，为下一步的建设和发展奠定了坚实的基础。</w:t>
      </w:r>
    </w:p>
    <w:p>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600" w:lineRule="exact"/>
        <w:jc w:val="both"/>
        <w:textAlignment w:val="baseline"/>
        <w:rPr>
          <w:rFonts w:eastAsia="黑体"/>
          <w:sz w:val="32"/>
          <w:szCs w:val="32"/>
          <w:lang w:val="en-US" w:eastAsia="zh-CN"/>
        </w:rPr>
      </w:pPr>
      <w:r>
        <w:rPr>
          <w:rFonts w:hint="eastAsia" w:eastAsia="黑体"/>
          <w:sz w:val="32"/>
          <w:szCs w:val="32"/>
          <w:lang w:val="en-US" w:eastAsia="zh-CN"/>
        </w:rPr>
        <w:t>六、存在的问题</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321" w:firstLineChars="100"/>
        <w:jc w:val="both"/>
        <w:textAlignment w:val="baseline"/>
        <w:rPr>
          <w:rFonts w:hint="default"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default" w:ascii="仿宋_GB2312" w:hAnsi="仿宋_GB2312" w:eastAsia="仿宋_GB2312" w:cs="仿宋_GB2312"/>
          <w:b/>
          <w:bCs/>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一</w:t>
      </w:r>
      <w:r>
        <w:rPr>
          <w:rFonts w:hint="default" w:ascii="仿宋_GB2312" w:hAnsi="仿宋_GB2312" w:eastAsia="仿宋_GB2312" w:cs="仿宋_GB2312"/>
          <w:b/>
          <w:bCs/>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预算</w:t>
      </w:r>
      <w:r>
        <w:rPr>
          <w:rFonts w:hint="default" w:ascii="仿宋_GB2312" w:hAnsi="仿宋_GB2312" w:eastAsia="仿宋_GB2312" w:cs="仿宋_GB2312"/>
          <w:b/>
          <w:bCs/>
          <w:color w:val="000000" w:themeColor="text1"/>
          <w:sz w:val="32"/>
          <w:szCs w:val="32"/>
          <w:highlight w:val="none"/>
          <w:lang w:val="en-US" w:eastAsia="zh-CN"/>
          <w14:textFill>
            <w14:solidFill>
              <w14:schemeClr w14:val="tx1"/>
            </w14:solidFill>
          </w14:textFill>
        </w:rPr>
        <w:t>绩效管理待完善</w:t>
      </w:r>
    </w:p>
    <w:p>
      <w:pPr>
        <w:pStyle w:val="3"/>
        <w:keepNext w:val="0"/>
        <w:keepLines w:val="0"/>
        <w:pageBreakBefore w:val="0"/>
        <w:widowControl w:val="0"/>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Times New Roman" w:hAnsi="Times New Roman"/>
          <w:color w:val="000000"/>
          <w:kern w:val="0"/>
          <w:szCs w:val="21"/>
          <w:lang w:val="en-US" w:eastAsia="zh-CN"/>
        </w:rPr>
      </w:pPr>
      <w:r>
        <w:rPr>
          <w:rFonts w:hint="default" w:ascii="Times New Roman" w:hAnsi="Times New Roman"/>
          <w:color w:val="000000"/>
          <w:kern w:val="0"/>
          <w:szCs w:val="21"/>
          <w:lang w:val="en-US" w:eastAsia="zh-CN"/>
        </w:rPr>
        <w:t>在绩效管理方面，一是</w:t>
      </w:r>
      <w:r>
        <w:rPr>
          <w:rFonts w:hint="eastAsia" w:ascii="Times New Roman" w:hAnsi="Times New Roman"/>
          <w:color w:val="000000"/>
          <w:kern w:val="0"/>
          <w:szCs w:val="21"/>
          <w:lang w:val="en-US" w:eastAsia="zh-CN"/>
        </w:rPr>
        <w:t>项目绩效目标编制不完整，专项债项目绩效目标未按预算编制要求同步申报及信息公开，一些上级专项资金也未编制绩效目标。二是</w:t>
      </w:r>
      <w:r>
        <w:rPr>
          <w:rFonts w:hint="default" w:ascii="Times New Roman" w:hAnsi="Times New Roman"/>
          <w:color w:val="000000"/>
          <w:kern w:val="0"/>
          <w:szCs w:val="21"/>
          <w:lang w:val="en-US" w:eastAsia="zh-CN"/>
        </w:rPr>
        <w:t>绩效目标</w:t>
      </w:r>
      <w:r>
        <w:rPr>
          <w:rFonts w:hint="eastAsia" w:ascii="Times New Roman" w:hAnsi="Times New Roman"/>
          <w:color w:val="000000"/>
          <w:kern w:val="0"/>
          <w:szCs w:val="21"/>
          <w:lang w:val="en-US" w:eastAsia="zh-CN"/>
        </w:rPr>
        <w:t>编制质量不高。</w:t>
      </w:r>
      <w:r>
        <w:rPr>
          <w:rFonts w:hint="default" w:ascii="Times New Roman" w:hAnsi="Times New Roman"/>
          <w:color w:val="000000"/>
          <w:kern w:val="0"/>
          <w:szCs w:val="21"/>
          <w:lang w:val="en-US" w:eastAsia="zh-CN"/>
        </w:rPr>
        <w:t>绩效目标</w:t>
      </w:r>
      <w:r>
        <w:rPr>
          <w:rFonts w:hint="eastAsia" w:ascii="Times New Roman" w:hAnsi="Times New Roman"/>
          <w:color w:val="000000"/>
          <w:kern w:val="0"/>
          <w:szCs w:val="21"/>
          <w:lang w:val="en-US" w:eastAsia="zh-CN"/>
        </w:rPr>
        <w:t>内容不完整，未能充分反映技师学院“十四五规划”、年度重点工作任务内容；可量化细化绩效指标细化较少，仅有一个“招生人数&gt;3000人”量化的指标值</w:t>
      </w:r>
      <w:r>
        <w:rPr>
          <w:rFonts w:hint="eastAsia" w:ascii="Arial" w:hAnsi="Arial" w:eastAsia="黑体" w:cs="Arial"/>
          <w:snapToGrid w:val="0"/>
          <w:color w:val="000000"/>
          <w:kern w:val="0"/>
          <w:sz w:val="32"/>
          <w:szCs w:val="32"/>
          <w:lang w:val="en-US" w:eastAsia="zh-CN"/>
        </w:rPr>
        <w:t>，</w:t>
      </w:r>
      <w:r>
        <w:rPr>
          <w:rFonts w:hint="eastAsia" w:ascii="Times New Roman" w:hAnsi="Times New Roman"/>
          <w:color w:val="000000"/>
          <w:kern w:val="0"/>
          <w:szCs w:val="21"/>
          <w:lang w:val="en-US" w:eastAsia="zh-CN"/>
        </w:rPr>
        <w:t>其他的指标全部都是定性指标，且不可测量，</w:t>
      </w:r>
      <w:r>
        <w:rPr>
          <w:rFonts w:hint="default" w:ascii="Times New Roman" w:hAnsi="Times New Roman"/>
          <w:color w:val="000000"/>
          <w:kern w:val="0"/>
          <w:szCs w:val="21"/>
          <w:lang w:val="en-US" w:eastAsia="zh-CN"/>
        </w:rPr>
        <w:t>无具体指标值</w:t>
      </w:r>
      <w:r>
        <w:rPr>
          <w:rFonts w:hint="eastAsia" w:ascii="Times New Roman" w:hAnsi="Times New Roman"/>
          <w:color w:val="000000"/>
          <w:kern w:val="0"/>
          <w:szCs w:val="21"/>
          <w:lang w:val="en-US" w:eastAsia="zh-CN"/>
        </w:rPr>
        <w:t>；不同项目绩效目标内容完全一致，没有分别按不同的项目内容进行编制。三</w:t>
      </w:r>
      <w:r>
        <w:rPr>
          <w:rFonts w:hint="default" w:ascii="Times New Roman" w:hAnsi="Times New Roman"/>
          <w:color w:val="000000"/>
          <w:kern w:val="0"/>
          <w:szCs w:val="21"/>
          <w:lang w:val="en-US" w:eastAsia="zh-CN"/>
        </w:rPr>
        <w:t>是学院对绩效相关工作的宣传力度不够，各处室、系部对于绩效工作的重要性认识不足。</w:t>
      </w:r>
      <w:r>
        <w:rPr>
          <w:rFonts w:hint="eastAsia" w:ascii="Times New Roman" w:hAnsi="Times New Roman"/>
          <w:color w:val="000000"/>
          <w:kern w:val="0"/>
          <w:szCs w:val="21"/>
          <w:lang w:val="en-US" w:eastAsia="zh-CN"/>
        </w:rPr>
        <w:t>四</w:t>
      </w:r>
      <w:r>
        <w:rPr>
          <w:rFonts w:hint="default" w:ascii="Times New Roman" w:hAnsi="Times New Roman"/>
          <w:color w:val="000000"/>
          <w:kern w:val="0"/>
          <w:szCs w:val="21"/>
          <w:lang w:val="en-US" w:eastAsia="zh-CN"/>
        </w:rPr>
        <w:t>是未建立评价结果与绩效考核相挂钩的绩效考核措施，绩效结果运用效果不佳。</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321" w:firstLineChars="100"/>
        <w:jc w:val="both"/>
        <w:textAlignment w:val="baseline"/>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（二）预决算编制有待完善</w:t>
      </w:r>
    </w:p>
    <w:p>
      <w:pPr>
        <w:pStyle w:val="8"/>
        <w:keepNext w:val="0"/>
        <w:keepLines w:val="0"/>
        <w:pageBreakBefore w:val="0"/>
        <w:widowControl w:val="0"/>
        <w:kinsoku w:val="0"/>
        <w:wordWrap/>
        <w:overflowPunct/>
        <w:topLinePunct w:val="0"/>
        <w:autoSpaceDE w:val="0"/>
        <w:autoSpaceDN w:val="0"/>
        <w:bidi w:val="0"/>
        <w:adjustRightInd w:val="0"/>
        <w:snapToGrid w:val="0"/>
        <w:spacing w:line="600" w:lineRule="atLeast"/>
        <w:ind w:leftChars="0" w:firstLine="640" w:firstLineChars="200"/>
        <w:jc w:val="both"/>
        <w:textAlignment w:val="baseline"/>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 xml:space="preserve">技师学院预算与决算项目名称、范围、内容、支出明细均不一致，无规范的立项程序和标准，必要的论证不充分，随意性大。  </w:t>
      </w:r>
    </w:p>
    <w:p>
      <w:pPr>
        <w:pStyle w:val="8"/>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atLeast"/>
        <w:ind w:leftChars="200" w:firstLine="321" w:firstLineChars="100"/>
        <w:jc w:val="both"/>
        <w:textAlignment w:val="baseline"/>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1.项目预算编制依据不充分</w:t>
      </w:r>
    </w:p>
    <w:p>
      <w:pPr>
        <w:pStyle w:val="8"/>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技师学院2022年3个项目年初预算10,322.15万元，项目立项依据不充分，均未经过必要的可行性研究、专家论证、风险评估、绩效评估、集体决策。预算均无具体的支出范围、内容及明细，缺乏相应的支出标准及规范，预算编制不够精准及恰当。</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default"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2.项目预算不完整</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除了已纳入预算的项目，其他一些新项目，还包括跨年未执行完毕的项目在每一个预算年度都应该申报项目支出绩效目标。如：技师学院2022年执行的项目还包括数控机床装配与维修专业建设项目、计算机辅助设计与制造专业建设项目、汽车钣金与涂装专业建设等项目未申报项目绩效目标及信息公开。</w:t>
      </w:r>
    </w:p>
    <w:p>
      <w:pPr>
        <w:pStyle w:val="8"/>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atLeast"/>
        <w:ind w:firstLine="643" w:firstLineChars="200"/>
        <w:jc w:val="both"/>
        <w:textAlignment w:val="baseline"/>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3.项目支出预决算编制口径不一致</w:t>
      </w:r>
    </w:p>
    <w:p>
      <w:pPr>
        <w:pStyle w:val="8"/>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2022年初编制3个项目支出的预算分别是教学实训和学生管理经费4,022.15万元，学院建设和发展支出4,400.00万元，债务利息支出1900.00万元，共计10,322.15万元。决算项目支出为3,480.68万元，决算报表的项目为公共实训基地配套设施1,996.34万元、高技能人才项目建设2.58万元、高技能数控项目438.57万元、公共实训基地光电技术596.61万元、利息446.57万元，预决算项目名称、内容、支出范围均不一致，项目设置也不科学严谨，无必要的论证，随意性大。</w:t>
      </w:r>
    </w:p>
    <w:p>
      <w:pPr>
        <w:keepNext w:val="0"/>
        <w:keepLines w:val="0"/>
        <w:pageBreakBefore w:val="0"/>
        <w:widowControl w:val="0"/>
        <w:kinsoku w:val="0"/>
        <w:wordWrap/>
        <w:overflowPunct/>
        <w:topLinePunct w:val="0"/>
        <w:autoSpaceDE w:val="0"/>
        <w:autoSpaceDN w:val="0"/>
        <w:bidi w:val="0"/>
        <w:adjustRightInd w:val="0"/>
        <w:snapToGrid w:val="0"/>
        <w:spacing w:line="600" w:lineRule="atLeast"/>
        <w:ind w:firstLine="643" w:firstLineChars="200"/>
        <w:jc w:val="both"/>
        <w:textAlignment w:val="baseline"/>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4.决算数据与实际情况不符</w:t>
      </w:r>
    </w:p>
    <w:p>
      <w:pPr>
        <w:keepNext w:val="0"/>
        <w:keepLines w:val="0"/>
        <w:pageBreakBefore w:val="0"/>
        <w:widowControl w:val="0"/>
        <w:kinsoku/>
        <w:wordWrap/>
        <w:overflowPunct/>
        <w:topLinePunct w:val="0"/>
        <w:autoSpaceDE w:val="0"/>
        <w:autoSpaceDN w:val="0"/>
        <w:bidi w:val="0"/>
        <w:adjustRightInd w:val="0"/>
        <w:snapToGrid w:val="0"/>
        <w:spacing w:line="600" w:lineRule="atLeast"/>
        <w:ind w:firstLine="643" w:firstLineChars="200"/>
        <w:jc w:val="both"/>
        <w:textAlignment w:val="baseline"/>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一是</w:t>
      </w: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技师学院2022年决算报表显示，2022年整体支出全年预算数为19,550.14万元。根据财政拨款指标获知，2022年实际整体支出全年预算数为</w:t>
      </w:r>
      <w:r>
        <w:rPr>
          <w:rFonts w:hint="eastAsia" w:ascii="宋体" w:hAnsi="宋体" w:cs="宋体"/>
          <w:b w:val="0"/>
          <w:i w:val="0"/>
          <w:strike w:val="0"/>
          <w:dstrike w:val="0"/>
          <w:color w:val="auto"/>
          <w:kern w:val="0"/>
          <w:sz w:val="30"/>
          <w:szCs w:val="30"/>
          <w:u w:val="none"/>
          <w:lang w:val="en-US" w:eastAsia="zh-CN" w:bidi="hi-IN"/>
        </w:rPr>
        <w:t>21,864.02</w:t>
      </w: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万元，决算数为19,550.14万元，结转和结余2,313.88万元（结余资金已被年底收回），其资金全部为项目资金。经了解得知，差异原因主要系决算报表中收入数据以支出数据为准（以支定收）；</w:t>
      </w:r>
    </w:p>
    <w:p>
      <w:pPr>
        <w:keepNext w:val="0"/>
        <w:keepLines w:val="0"/>
        <w:pageBreakBefore w:val="0"/>
        <w:widowControl w:val="0"/>
        <w:kinsoku/>
        <w:wordWrap/>
        <w:overflowPunct/>
        <w:topLinePunct w:val="0"/>
        <w:autoSpaceDE w:val="0"/>
        <w:autoSpaceDN w:val="0"/>
        <w:bidi w:val="0"/>
        <w:adjustRightInd w:val="0"/>
        <w:snapToGrid w:val="0"/>
        <w:spacing w:line="600" w:lineRule="atLeast"/>
        <w:jc w:val="both"/>
        <w:textAlignment w:val="baseline"/>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二是</w:t>
      </w: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预决算内容前后不一。专项债未纳入预算，决算报表又反映专项债项目支出</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3,034.11万</w:t>
      </w: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元；</w:t>
      </w: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三是</w:t>
      </w: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预算利息支出1900万元，决算利息支出446.57万元，实际利息支出1,</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622.67万元，决算未反映利息支出1,176.10万元；</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四是</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决算项目设置不合理，仅为了预决算收支平衡堆砌而成，每个项目都含有一部分利息支出。如决算公共实训基地配套设施项目支出1,320.40万元包含利息支出142.91万元</w:t>
      </w: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w:t>
      </w:r>
      <w:r>
        <w:rPr>
          <w:rFonts w:hint="eastAsia" w:ascii="仿宋_GB2312" w:hAnsi="仿宋_GB2312" w:eastAsia="仿宋_GB2312" w:cs="仿宋_GB2312"/>
          <w:b/>
          <w:bCs/>
          <w:snapToGrid w:val="0"/>
          <w:color w:val="000000" w:themeColor="text1"/>
          <w:kern w:val="0"/>
          <w:sz w:val="32"/>
          <w:szCs w:val="32"/>
          <w:highlight w:val="none"/>
          <w:lang w:val="en-US" w:eastAsia="zh-CN"/>
          <w14:textFill>
            <w14:solidFill>
              <w14:schemeClr w14:val="tx1"/>
            </w14:solidFill>
          </w14:textFill>
        </w:rPr>
        <w:t>五是</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实际偿</w:t>
      </w:r>
      <w:r>
        <w:rPr>
          <w:rFonts w:hint="eastAsia" w:ascii="仿宋_GB2312" w:hAnsi="仿宋_GB2312" w:eastAsia="仿宋_GB2312" w:cs="仿宋_GB2312"/>
          <w:b w:val="0"/>
          <w:bCs w:val="0"/>
          <w:snapToGrid w:val="0"/>
          <w:color w:val="000000" w:themeColor="text1"/>
          <w:kern w:val="0"/>
          <w:sz w:val="32"/>
          <w:szCs w:val="32"/>
          <w:highlight w:val="none"/>
          <w:lang w:val="en-US" w:eastAsia="zh-CN"/>
          <w14:textFill>
            <w14:solidFill>
              <w14:schemeClr w14:val="tx1"/>
            </w14:solidFill>
          </w14:textFill>
        </w:rPr>
        <w:t>还银行贷款本金448.43万元，决算中没有反应。</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57" w:beforeLines="50" w:after="157" w:afterLines="50" w:line="600" w:lineRule="exact"/>
        <w:jc w:val="both"/>
        <w:textAlignment w:val="baseline"/>
        <w:rPr>
          <w:rFonts w:hint="eastAsia" w:eastAsia="黑体"/>
          <w:sz w:val="32"/>
          <w:szCs w:val="32"/>
          <w:lang w:val="en-US" w:eastAsia="zh-CN"/>
        </w:rPr>
      </w:pPr>
      <w:r>
        <w:rPr>
          <w:rFonts w:hint="eastAsia" w:eastAsia="黑体"/>
          <w:sz w:val="32"/>
          <w:szCs w:val="32"/>
          <w:lang w:val="en-US" w:eastAsia="zh-CN"/>
        </w:rPr>
        <w:t>七、相关建议</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left="0" w:leftChars="0" w:firstLine="321" w:firstLineChars="100"/>
        <w:jc w:val="both"/>
        <w:textAlignment w:val="baseline"/>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t>加强预算绩效管理体系建设，完善绩效目标管理</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t>一是进一步完善技师学院预算绩效管理制度，围绕预算管理的主要内容和环节，完善涵盖绩效目标管理、绩效评价管理、评价结果应用等各环节的管理流程，制定出台预算绩效管理制度和实施细则。同时，加强绩效目标管理和研究，设置绩效目标需量化、全面，确保绩效目标完整反映部门整体支出情况，突出结果导向，重点考核实绩，切实提升项目管理水平，提高资金使用效率。二是加强宣传培训，提升各级人员绩效管理意识、树立正确的绩效管理理念；强化资金管理牵头部门、归口部门及建设部门的责任，提高参与度，促使技师学院绩效管理工作高效运行。</w:t>
      </w:r>
    </w:p>
    <w:p>
      <w:pPr>
        <w:keepNext w:val="0"/>
        <w:keepLines w:val="0"/>
        <w:pageBreakBefore w:val="0"/>
        <w:widowControl w:val="0"/>
        <w:numPr>
          <w:ilvl w:val="0"/>
          <w:numId w:val="1"/>
        </w:numPr>
        <w:kinsoku w:val="0"/>
        <w:wordWrap/>
        <w:overflowPunct/>
        <w:topLinePunct w:val="0"/>
        <w:autoSpaceDE w:val="0"/>
        <w:autoSpaceDN w:val="0"/>
        <w:bidi w:val="0"/>
        <w:adjustRightInd w:val="0"/>
        <w:snapToGrid w:val="0"/>
        <w:spacing w:line="600" w:lineRule="exact"/>
        <w:ind w:left="0" w:leftChars="0" w:firstLine="321" w:firstLineChars="100"/>
        <w:jc w:val="both"/>
        <w:textAlignment w:val="baseline"/>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t xml:space="preserve">增强预算编制精细化管理，提高预算资金使用效益  </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t>一是</w:t>
      </w:r>
      <w:r>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t>建立以项目为源头的预算管理机制，将项目作为预算管理的基本单元，全部预算支出都以项目形式纳入学校预算，实行项目库管理，坚持“先有项目后有预算”“资金跟着项目走”，未纳入项目库的项目一律不安排支出。</w:t>
      </w:r>
      <w:r>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t>二是</w:t>
      </w:r>
      <w:r>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t>部门编制年初预算要根据自身职能目标拟定，参考上年度预算执行情况、相关项目支出绩效评价结果和本年度的收支预测，按照规定程序多方征求意见后细化项目及具体的事项，提高预算编制工作精细程度。</w:t>
      </w:r>
      <w:r>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t>三是</w:t>
      </w:r>
      <w:r>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t>项目申报前期要进行充分的准备调研论证评估，为项目预算提供足够的测算依据合理测算所需财政资金，准确评估财政资金投入使用的效益，提高预算编制的合理性。</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leftChars="100"/>
        <w:jc w:val="both"/>
        <w:textAlignment w:val="baseline"/>
        <w:rPr>
          <w:rFonts w:hint="default"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t>（三）专项债项目收支全面纳入预算管理</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将专项债券收支全面纳入预算管理一体化范围，开展全生命周期绩效管理，压实主管部门和项目单位管理责任。</w:t>
      </w:r>
    </w:p>
    <w:p>
      <w:pPr>
        <w:pStyle w:val="8"/>
        <w:keepNext w:val="0"/>
        <w:keepLines w:val="0"/>
        <w:pageBreakBefore w:val="0"/>
        <w:widowControl w:val="0"/>
        <w:numPr>
          <w:ilvl w:val="0"/>
          <w:numId w:val="0"/>
        </w:numPr>
        <w:tabs>
          <w:tab w:val="left" w:pos="1103"/>
        </w:tabs>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default"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1.专项债项目资产核算全部纳入部门预算统一编制</w:t>
      </w:r>
    </w:p>
    <w:p>
      <w:pPr>
        <w:pStyle w:val="8"/>
        <w:keepNext w:val="0"/>
        <w:keepLines w:val="0"/>
        <w:pageBreakBefore w:val="0"/>
        <w:widowControl w:val="0"/>
        <w:numPr>
          <w:ilvl w:val="0"/>
          <w:numId w:val="0"/>
        </w:numPr>
        <w:tabs>
          <w:tab w:val="left" w:pos="1103"/>
        </w:tabs>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加强专项债项目的立项与预算一体化的衔接，将立项的专项债项目作为特定目标类项目同步纳入预算项目库，完善以项目库为源头的预算管理机制。坚持“先有项目储备、再作预算安排”的基本原则，新增债券资金安排的项目支出要与政府预算项目、本级部门预算项目、转移支付项目保持一致，全部纳入部门预算统一编制。对于投入运营后的专项债项目资产的收支核算管理也应全部纳入部门预算统一编制。</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2.科学进行专项债项目资产会计核算</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lang w:val="en-US" w:eastAsia="zh-CN"/>
        </w:rPr>
      </w:pP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专项债项目资产会计核算坚持预算管理与资产管理并重原则，从预算会计及财务会计角度做好核算工作，即从预算会计角度强化专项债监管、硬化预算，从财务会计角度做好资产负债核算工作，在建工程及时转固，与形成的设备资产一并纳入公共实训基地项目资产专账核算与管理，全面反映政府专项债形成的公共基础设施等资产“家底”，提高预算管理水平、促进资源优化配置、防范政府债务风险。专项债项目资产的确认和计量，要严格按照《政府会计准则第5号—公共基础设施》《政府会计准则制度解释第2号》《政府会计制度》等相关政策规定执行。</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3.使用政府债券资金的单位的具体会计处理</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一是</w:t>
      </w: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单位实际从同级财政取得政府债券资金的，应当借记“银行存款”、“零余额账户用款额度”等科目，贷记“财政拨款收入”科目；同时在预算会计中借记“资金结存”等科目，贷记“财政拨款预算收入”科目；</w:t>
      </w: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二是</w:t>
      </w: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按照预算管理要求需对政府债券资金单独反映的，应当在“财政拨款（预算）收入”科目下进行明细核算。例如，取得地方政府债券资金的，应当根据地方政府债券类别按照“地方政府一般债券资金收入”、“地方政府专项债券资金收入”等进行明细核算；</w:t>
      </w: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三是</w:t>
      </w: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单位需要向同级财政上缴专项债券对应项目专项收入的，取得专项收入时，应当借记“银行存款”等科目，贷记“应缴财政款”科目；实际上缴时，借记“应缴财政款”科目，贷记“银行存款”等科目。预算会计不做处理；</w:t>
      </w: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四是</w:t>
      </w: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单位应当对使用地方政府债券资金所形成的资产、上缴的专项债券对应项目专项收入进行辅助核算或备查簿登记。</w:t>
      </w:r>
    </w:p>
    <w:p>
      <w:pPr>
        <w:keepNext w:val="0"/>
        <w:keepLines w:val="0"/>
        <w:pageBreakBefore w:val="0"/>
        <w:widowControl w:val="0"/>
        <w:numPr>
          <w:ilvl w:val="0"/>
          <w:numId w:val="0"/>
        </w:numPr>
        <w:tabs>
          <w:tab w:val="left" w:pos="1553"/>
        </w:tabs>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4.加强专项债项目国有资产管理</w:t>
      </w:r>
    </w:p>
    <w:p>
      <w:pPr>
        <w:keepNext w:val="0"/>
        <w:keepLines w:val="0"/>
        <w:pageBreakBefore w:val="0"/>
        <w:widowControl w:val="0"/>
        <w:numPr>
          <w:ilvl w:val="0"/>
          <w:numId w:val="0"/>
        </w:numPr>
        <w:tabs>
          <w:tab w:val="left" w:pos="1553"/>
        </w:tabs>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行政事业单位作为专项债项目资产管理登记单位，应规范设置台账，依法进行会计核算，坚持资产管理与预算管理、绩效管理相结合原则，根据相关制度要求及时、真实、完整、准确登记项目资产相关信息，比如资产种类、名称、形成日期、原价、使用年限、使用人、管理人、资产经营收入等，并随资产全生命周期动态更新。以夯实资产核算基础，提升资产管理质量及水平，落实预算绩效管理制度，优化财政资源配置，提升公共服务质量。</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321" w:firstLineChars="100"/>
        <w:jc w:val="both"/>
        <w:textAlignment w:val="baseline"/>
        <w:rPr>
          <w:rFonts w:hint="default"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t>（四）提升资金使用管理，</w:t>
      </w: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使预算管理与财务管理机制有机结合</w:t>
      </w:r>
    </w:p>
    <w:p>
      <w:pPr>
        <w:keepNext w:val="0"/>
        <w:keepLines w:val="0"/>
        <w:pageBreakBefore w:val="0"/>
        <w:widowControl/>
        <w:numPr>
          <w:ilvl w:val="0"/>
          <w:numId w:val="0"/>
        </w:numPr>
        <w:kinsoku/>
        <w:wordWrap/>
        <w:overflowPunct/>
        <w:topLinePunct/>
        <w:autoSpaceDE w:val="0"/>
        <w:autoSpaceDN w:val="0"/>
        <w:bidi w:val="0"/>
        <w:adjustRightInd w:val="0"/>
        <w:snapToGrid w:val="0"/>
        <w:spacing w:line="600" w:lineRule="exact"/>
        <w:ind w:firstLine="643" w:firstLineChars="200"/>
        <w:jc w:val="both"/>
        <w:textAlignment w:val="baseline"/>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一是</w:t>
      </w: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无预算不支出，项目资金年初列出预算明细，经审批后方可执行，如果年初没有预算，年中确需发生，需申请追加预算，经批准后执行；</w:t>
      </w: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二是</w:t>
      </w: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严格执行预算管理。跟踪监测每个具体项目的执行情况，及时发现项目预算执行中的问题并提出相应措施，加快项目推进进度，及时进行资金支付，避免资金闲置，提高财政资金使用效益；</w:t>
      </w: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三是</w:t>
      </w: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严格落实各项规章制度，结合项目实际，制定和完善专项资金管理办法，明确专项资金使用方向，严禁在专项资金中列支日常公用经费，严禁同一个项目专项债资金的使用超过项目预算金额与已下达财政专项资金的差额。做好专项资金的财务核算，加强财务管理，坚持专人管理、专账管理、专款专用的原则，加大资金监管力度；按年度开展绩效评价，定期对专项资金结余情况进行清理，确保资金安全、及时、足额下达，不闲置滞留，不挤占挪用，最大限度发挥资金使用效益。</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leftChars="100"/>
        <w:jc w:val="both"/>
        <w:textAlignment w:val="baseline"/>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t>（五）加强资产管理，提高资产配置效益</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提高对资产管理的重视程度，落实资产清查工作，建立完善的资产管理机制。做好资产日常管理工作，定期开展资产清查和自查工作，每年年末对固定资产、流动资产全面清查盘点，保证账、卡、物相符，对盘盈、盘亏的资产，要查明原因分清责任，及时处理。</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leftChars="100"/>
        <w:jc w:val="both"/>
        <w:textAlignment w:val="baseline"/>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color w:val="000000" w:themeColor="text1"/>
          <w:sz w:val="32"/>
          <w:szCs w:val="32"/>
          <w:highlight w:val="none"/>
          <w:lang w:val="en-US" w:eastAsia="zh-CN"/>
          <w14:textFill>
            <w14:solidFill>
              <w14:schemeClr w14:val="tx1"/>
            </w14:solidFill>
          </w14:textFill>
        </w:rPr>
        <w:t>（六）加强专项债券项目投后管理，防范项目偿债风险</w:t>
      </w:r>
    </w:p>
    <w:p>
      <w:pPr>
        <w:keepNext w:val="0"/>
        <w:keepLines w:val="0"/>
        <w:pageBreakBefore w:val="0"/>
        <w:widowControl/>
        <w:numPr>
          <w:ilvl w:val="0"/>
          <w:numId w:val="0"/>
        </w:numPr>
        <w:tabs>
          <w:tab w:val="left" w:pos="1553"/>
        </w:tabs>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1.加强项目投后管理，提升项目可持续盈利能力</w:t>
      </w:r>
    </w:p>
    <w:p>
      <w:pPr>
        <w:keepNext w:val="0"/>
        <w:keepLines w:val="0"/>
        <w:pageBreakBefore w:val="0"/>
        <w:widowControl w:val="0"/>
        <w:numPr>
          <w:ilvl w:val="0"/>
          <w:numId w:val="0"/>
        </w:numPr>
        <w:tabs>
          <w:tab w:val="left" w:pos="1553"/>
        </w:tabs>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建议坚持“谁举债、谁负责、谁使用、谁偿还”的“权责利”基本方向，有序稳步推进明晰责任主体，推动实现项目还款来源与具体项目的严格对应，促进项目单位转变和提升专项债券项目偿债责任意识。建议加强项目投后管理，理顺项目运营管理机制，明确项目经济收益责任主体，挖掘项目收益来源，提升项目单位自身偿还债务能力和可持续盈利能力。</w:t>
      </w:r>
    </w:p>
    <w:p>
      <w:pPr>
        <w:keepNext w:val="0"/>
        <w:keepLines w:val="0"/>
        <w:pageBreakBefore w:val="0"/>
        <w:widowControl w:val="0"/>
        <w:numPr>
          <w:ilvl w:val="0"/>
          <w:numId w:val="0"/>
        </w:numPr>
        <w:tabs>
          <w:tab w:val="left" w:pos="1553"/>
        </w:tabs>
        <w:kinsoku w:val="0"/>
        <w:wordWrap/>
        <w:overflowPunct/>
        <w:topLinePunct w:val="0"/>
        <w:autoSpaceDE w:val="0"/>
        <w:autoSpaceDN w:val="0"/>
        <w:bidi w:val="0"/>
        <w:adjustRightInd w:val="0"/>
        <w:snapToGrid w:val="0"/>
        <w:spacing w:line="600" w:lineRule="exact"/>
        <w:ind w:firstLine="643" w:firstLineChars="200"/>
        <w:jc w:val="both"/>
        <w:textAlignment w:val="baseline"/>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
          <w:bCs w:val="0"/>
          <w:snapToGrid w:val="0"/>
          <w:color w:val="000000" w:themeColor="text1"/>
          <w:kern w:val="0"/>
          <w:sz w:val="32"/>
          <w:szCs w:val="32"/>
          <w:highlight w:val="none"/>
          <w:lang w:val="en-US" w:eastAsia="zh-CN"/>
          <w14:textFill>
            <w14:solidFill>
              <w14:schemeClr w14:val="tx1"/>
            </w14:solidFill>
          </w14:textFill>
        </w:rPr>
        <w:t>2.强化项目偿债风险预警，建立和优化偿债保障机制</w:t>
      </w:r>
    </w:p>
    <w:p>
      <w:pPr>
        <w:keepNext w:val="0"/>
        <w:keepLines w:val="0"/>
        <w:pageBreakBefore w:val="0"/>
        <w:widowControl w:val="0"/>
        <w:numPr>
          <w:ilvl w:val="0"/>
          <w:numId w:val="0"/>
        </w:numPr>
        <w:tabs>
          <w:tab w:val="left" w:pos="1553"/>
        </w:tabs>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仿宋" w:cs="Times New Roman"/>
          <w:bCs/>
          <w:snapToGrid w:val="0"/>
          <w:color w:val="000000" w:themeColor="text1"/>
          <w:kern w:val="0"/>
          <w:sz w:val="32"/>
          <w:szCs w:val="32"/>
          <w:highlight w:val="none"/>
          <w:lang w:val="en-US" w:eastAsia="zh-CN"/>
          <w14:textFill>
            <w14:solidFill>
              <w14:schemeClr w14:val="tx1"/>
            </w14:solidFill>
          </w14:textFill>
        </w:rPr>
        <w:t>建议在关注政府债务率指标的基础上，将风险防范深入至项目层面，强化建立项目全生命周期偿债风险预警机制，对影响专项债券偿还的专项债券项目收益进行监测，确保在专项债券项目违约风险过高时进行及时调整，控制专项债券项目风险敞口，避免局部债务风险积聚。建议建立违约事件的应急响应机制，根据违约风险等级，通过采取调入项目运营收入、调整支出结构、处置可变现资产、暂停涉事单位新增专项债券发行资格等措施做好风险处置。建议探索建立规范的项目收入归集机制和偿债准备机制，定期按比例从已实现项目收益或政府性基金预算收入中提取准备金，一方面确保项目收益资金安全，不被挤占挪用，专项用于未来偿还专项债券本息。</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157" w:beforeLines="50" w:after="157" w:afterLines="50" w:line="600" w:lineRule="exact"/>
        <w:jc w:val="both"/>
        <w:textAlignment w:val="baseline"/>
        <w:rPr>
          <w:rFonts w:hint="eastAsia" w:eastAsia="黑体"/>
          <w:sz w:val="32"/>
          <w:szCs w:val="32"/>
          <w:lang w:val="en-US" w:eastAsia="zh-CN"/>
        </w:rPr>
      </w:pPr>
      <w:r>
        <w:rPr>
          <w:rFonts w:hint="eastAsia" w:eastAsia="黑体"/>
          <w:sz w:val="32"/>
          <w:szCs w:val="32"/>
          <w:lang w:val="en-US" w:eastAsia="zh-CN"/>
        </w:rPr>
        <w:t>评价情况及评价</w:t>
      </w:r>
      <w:bookmarkStart w:id="1" w:name="_GoBack"/>
      <w:bookmarkEnd w:id="1"/>
      <w:r>
        <w:rPr>
          <w:rFonts w:hint="eastAsia" w:eastAsia="黑体"/>
          <w:sz w:val="32"/>
          <w:szCs w:val="32"/>
          <w:lang w:val="en-US" w:eastAsia="zh-CN"/>
        </w:rPr>
        <w:t>结论</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t>绩效评价小组按照目标设定、预算配置、预算执行、预算管理、资产管理、职责履行、履职效益七个方面进行评价，根据《衡阳技师学院部门整体支出绩效评价评分表》，技师学院综合得分72.5分，评价等级为“中”。</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157" w:beforeLines="50" w:after="157" w:afterLines="50" w:line="600" w:lineRule="exact"/>
        <w:jc w:val="both"/>
        <w:textAlignment w:val="baseline"/>
        <w:rPr>
          <w:rFonts w:hint="eastAsia" w:eastAsia="黑体"/>
          <w:sz w:val="32"/>
          <w:szCs w:val="32"/>
          <w:lang w:val="en-US" w:eastAsia="zh-CN"/>
        </w:rPr>
      </w:pPr>
      <w:r>
        <w:rPr>
          <w:rFonts w:hint="eastAsia" w:eastAsia="黑体"/>
          <w:sz w:val="32"/>
          <w:szCs w:val="32"/>
          <w:lang w:val="en-US" w:eastAsia="zh-CN"/>
        </w:rPr>
        <w:t>绩效评价结果应用建议</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157" w:beforeLines="50" w:after="157" w:afterLines="50" w:line="600" w:lineRule="exact"/>
        <w:ind w:firstLine="640" w:firstLineChars="200"/>
        <w:jc w:val="both"/>
        <w:textAlignment w:val="baseline"/>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t>技师学院要对照评价报告加强整改，及时公开绩效评价结果，主动接受社会监督。</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pPr>
      <w:r>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t>附件：1.部门整体支出绩效评价基础数据表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jc w:val="both"/>
        <w:textAlignment w:val="baseline"/>
        <w:rPr>
          <w:rFonts w:hAnsi="黑体" w:eastAsia="黑体"/>
          <w:sz w:val="32"/>
          <w:szCs w:val="32"/>
        </w:rPr>
      </w:pPr>
      <w:r>
        <w:rPr>
          <w:rFonts w:hint="eastAsia" w:ascii="Times New Roman" w:hAnsi="Times New Roman" w:eastAsia="仿宋" w:cs="Times New Roman"/>
          <w:bCs/>
          <w:color w:val="000000" w:themeColor="text1"/>
          <w:sz w:val="32"/>
          <w:szCs w:val="32"/>
          <w:highlight w:val="none"/>
          <w:lang w:val="en-US" w:eastAsia="zh-CN"/>
          <w14:textFill>
            <w14:solidFill>
              <w14:schemeClr w14:val="tx1"/>
            </w14:solidFill>
          </w14:textFill>
        </w:rPr>
        <w:t>2.部门整体支出绩效评价评分表</w:t>
      </w:r>
      <w:r>
        <w:rPr>
          <w:rFonts w:hAnsi="黑体" w:eastAsia="黑体"/>
          <w:sz w:val="32"/>
          <w:szCs w:val="32"/>
        </w:rPr>
        <w:br w:type="page"/>
      </w:r>
    </w:p>
    <w:p>
      <w:pPr>
        <w:pStyle w:val="3"/>
        <w:tabs>
          <w:tab w:val="left" w:pos="973"/>
        </w:tabs>
        <w:rPr>
          <w:rFonts w:eastAsia="黑体"/>
          <w:sz w:val="32"/>
          <w:szCs w:val="32"/>
        </w:rPr>
      </w:pPr>
      <w:r>
        <w:rPr>
          <w:rFonts w:hAnsi="黑体" w:eastAsia="黑体"/>
          <w:sz w:val="32"/>
          <w:szCs w:val="32"/>
        </w:rPr>
        <w:t>附件</w:t>
      </w:r>
      <w:r>
        <w:rPr>
          <w:rFonts w:hint="eastAsia" w:eastAsia="黑体"/>
          <w:sz w:val="32"/>
          <w:szCs w:val="32"/>
          <w:lang w:val="en-US" w:eastAsia="zh-CN"/>
        </w:rPr>
        <w:t>1</w:t>
      </w:r>
      <w:r>
        <w:rPr>
          <w:rFonts w:eastAsia="黑体"/>
          <w:sz w:val="32"/>
          <w:szCs w:val="32"/>
        </w:rPr>
        <w:t xml:space="preserve">   </w:t>
      </w:r>
    </w:p>
    <w:p>
      <w:pPr>
        <w:spacing w:line="620" w:lineRule="exact"/>
        <w:jc w:val="center"/>
        <w:rPr>
          <w:rFonts w:hint="eastAsia" w:ascii="Times New Roman" w:hAnsi="Times New Roman" w:eastAsia="方正小标宋简体" w:cs="Times New Roman"/>
          <w:kern w:val="0"/>
          <w:sz w:val="30"/>
          <w:szCs w:val="30"/>
          <w:lang w:val="en-US" w:eastAsia="zh-CN"/>
        </w:rPr>
      </w:pPr>
      <w:r>
        <w:rPr>
          <w:rFonts w:hint="eastAsia" w:ascii="Times New Roman" w:hAnsi="Times New Roman" w:eastAsia="方正小标宋简体" w:cs="Times New Roman"/>
          <w:kern w:val="0"/>
          <w:sz w:val="30"/>
          <w:szCs w:val="30"/>
          <w:lang w:val="en-US" w:eastAsia="zh-CN"/>
        </w:rPr>
        <w:t>衡阳技师学院2022年度部门整体支出绩效评价基础数据表</w:t>
      </w:r>
    </w:p>
    <w:p>
      <w:pPr>
        <w:widowControl/>
        <w:tabs>
          <w:tab w:val="left" w:pos="3611"/>
          <w:tab w:val="left" w:pos="4791"/>
          <w:tab w:val="left" w:pos="6195"/>
          <w:tab w:val="left" w:pos="7071"/>
          <w:tab w:val="left" w:pos="8191"/>
          <w:tab w:val="left" w:pos="9311"/>
        </w:tabs>
        <w:ind w:left="91"/>
        <w:jc w:val="left"/>
        <w:rPr>
          <w:rFonts w:eastAsia="仿宋"/>
          <w:kern w:val="0"/>
          <w:sz w:val="24"/>
        </w:rPr>
      </w:pPr>
      <w:r>
        <w:rPr>
          <w:rFonts w:eastAsia="仿宋"/>
          <w:kern w:val="0"/>
          <w:sz w:val="24"/>
        </w:rPr>
        <w:t>填报单位：</w:t>
      </w:r>
      <w:r>
        <w:rPr>
          <w:rFonts w:eastAsia="仿宋"/>
          <w:kern w:val="0"/>
          <w:sz w:val="24"/>
        </w:rPr>
        <w:tab/>
      </w:r>
      <w:r>
        <w:rPr>
          <w:rFonts w:eastAsia="仿宋"/>
          <w:kern w:val="0"/>
          <w:sz w:val="24"/>
        </w:rPr>
        <w:tab/>
      </w:r>
      <w:r>
        <w:rPr>
          <w:rFonts w:eastAsia="仿宋"/>
          <w:kern w:val="0"/>
          <w:sz w:val="24"/>
        </w:rPr>
        <w:tab/>
      </w:r>
      <w:r>
        <w:rPr>
          <w:rFonts w:eastAsia="仿宋"/>
          <w:kern w:val="0"/>
          <w:sz w:val="24"/>
        </w:rPr>
        <w:t>金额单位：万元</w:t>
      </w:r>
      <w:r>
        <w:rPr>
          <w:rFonts w:eastAsia="仿宋"/>
          <w:kern w:val="0"/>
          <w:sz w:val="24"/>
        </w:rPr>
        <w:tab/>
      </w:r>
    </w:p>
    <w:tbl>
      <w:tblPr>
        <w:tblStyle w:val="9"/>
        <w:tblW w:w="5241" w:type="pct"/>
        <w:jc w:val="center"/>
        <w:tblLayout w:type="autofit"/>
        <w:tblCellMar>
          <w:top w:w="0" w:type="dxa"/>
          <w:left w:w="108" w:type="dxa"/>
          <w:bottom w:w="0" w:type="dxa"/>
          <w:right w:w="108" w:type="dxa"/>
        </w:tblCellMar>
      </w:tblPr>
      <w:tblGrid>
        <w:gridCol w:w="3440"/>
        <w:gridCol w:w="1705"/>
        <w:gridCol w:w="2173"/>
        <w:gridCol w:w="1615"/>
      </w:tblGrid>
      <w:tr>
        <w:tblPrEx>
          <w:tblCellMar>
            <w:top w:w="0" w:type="dxa"/>
            <w:left w:w="108" w:type="dxa"/>
            <w:bottom w:w="0" w:type="dxa"/>
            <w:right w:w="108" w:type="dxa"/>
          </w:tblCellMar>
        </w:tblPrEx>
        <w:trPr>
          <w:trHeight w:val="423" w:hRule="atLeast"/>
          <w:jc w:val="center"/>
        </w:trPr>
        <w:tc>
          <w:tcPr>
            <w:tcW w:w="1925" w:type="pct"/>
            <w:vMerge w:val="restart"/>
            <w:tcBorders>
              <w:top w:val="single" w:color="auto" w:sz="4" w:space="0"/>
              <w:left w:val="single" w:color="auto" w:sz="4" w:space="0"/>
              <w:right w:val="single" w:color="auto" w:sz="4" w:space="0"/>
            </w:tcBorders>
            <w:noWrap w:val="0"/>
            <w:vAlign w:val="center"/>
          </w:tcPr>
          <w:p>
            <w:pPr>
              <w:widowControl/>
              <w:jc w:val="center"/>
              <w:rPr>
                <w:rFonts w:eastAsia="仿宋"/>
                <w:kern w:val="0"/>
                <w:szCs w:val="21"/>
              </w:rPr>
            </w:pPr>
            <w:r>
              <w:rPr>
                <w:rFonts w:eastAsia="仿宋"/>
                <w:kern w:val="0"/>
                <w:szCs w:val="21"/>
              </w:rPr>
              <w:t>财政供养人员情况</w:t>
            </w:r>
          </w:p>
        </w:tc>
        <w:tc>
          <w:tcPr>
            <w:tcW w:w="954" w:type="pct"/>
            <w:tcBorders>
              <w:top w:val="single" w:color="auto" w:sz="4" w:space="0"/>
              <w:left w:val="nil"/>
              <w:bottom w:val="single" w:color="auto" w:sz="4" w:space="0"/>
              <w:right w:val="single" w:color="auto" w:sz="4" w:space="0"/>
            </w:tcBorders>
            <w:noWrap w:val="0"/>
            <w:vAlign w:val="center"/>
          </w:tcPr>
          <w:p>
            <w:pPr>
              <w:widowControl/>
              <w:jc w:val="center"/>
              <w:rPr>
                <w:rFonts w:eastAsia="仿宋"/>
                <w:bCs/>
                <w:kern w:val="0"/>
                <w:szCs w:val="21"/>
              </w:rPr>
            </w:pPr>
            <w:r>
              <w:rPr>
                <w:rFonts w:eastAsia="仿宋"/>
                <w:bCs/>
                <w:kern w:val="0"/>
                <w:szCs w:val="21"/>
              </w:rPr>
              <w:t>编制数</w:t>
            </w:r>
          </w:p>
        </w:tc>
        <w:tc>
          <w:tcPr>
            <w:tcW w:w="1216" w:type="pct"/>
            <w:tcBorders>
              <w:top w:val="single" w:color="auto" w:sz="4" w:space="0"/>
              <w:left w:val="nil"/>
              <w:bottom w:val="single" w:color="auto" w:sz="4" w:space="0"/>
              <w:right w:val="single" w:color="auto" w:sz="4" w:space="0"/>
            </w:tcBorders>
            <w:noWrap w:val="0"/>
            <w:vAlign w:val="center"/>
          </w:tcPr>
          <w:p>
            <w:pPr>
              <w:widowControl/>
              <w:jc w:val="center"/>
              <w:rPr>
                <w:rFonts w:eastAsia="仿宋"/>
                <w:bCs/>
                <w:kern w:val="0"/>
                <w:szCs w:val="21"/>
              </w:rPr>
            </w:pPr>
            <w:r>
              <w:rPr>
                <w:rFonts w:eastAsia="仿宋"/>
                <w:bCs/>
                <w:kern w:val="0"/>
                <w:szCs w:val="21"/>
              </w:rPr>
              <w:t>202</w:t>
            </w:r>
            <w:r>
              <w:rPr>
                <w:rFonts w:hint="eastAsia" w:eastAsia="仿宋"/>
                <w:bCs/>
                <w:kern w:val="0"/>
                <w:szCs w:val="21"/>
                <w:lang w:val="en-US" w:eastAsia="zh-CN"/>
              </w:rPr>
              <w:t>2</w:t>
            </w:r>
            <w:r>
              <w:rPr>
                <w:rFonts w:eastAsia="仿宋"/>
                <w:bCs/>
                <w:kern w:val="0"/>
                <w:szCs w:val="21"/>
              </w:rPr>
              <w:t>年实际在职人数</w:t>
            </w:r>
          </w:p>
        </w:tc>
        <w:tc>
          <w:tcPr>
            <w:tcW w:w="903" w:type="pct"/>
            <w:tcBorders>
              <w:top w:val="single" w:color="auto" w:sz="4" w:space="0"/>
              <w:left w:val="nil"/>
              <w:bottom w:val="single" w:color="auto" w:sz="4" w:space="0"/>
              <w:right w:val="single" w:color="auto" w:sz="4" w:space="0"/>
            </w:tcBorders>
            <w:noWrap w:val="0"/>
            <w:vAlign w:val="center"/>
          </w:tcPr>
          <w:p>
            <w:pPr>
              <w:widowControl/>
              <w:jc w:val="center"/>
              <w:rPr>
                <w:rFonts w:eastAsia="仿宋"/>
                <w:bCs/>
                <w:kern w:val="0"/>
                <w:szCs w:val="21"/>
              </w:rPr>
            </w:pPr>
            <w:r>
              <w:rPr>
                <w:rFonts w:eastAsia="仿宋"/>
                <w:bCs/>
                <w:kern w:val="0"/>
                <w:szCs w:val="21"/>
              </w:rPr>
              <w:t>控制率</w:t>
            </w:r>
          </w:p>
        </w:tc>
      </w:tr>
      <w:tr>
        <w:tblPrEx>
          <w:tblCellMar>
            <w:top w:w="0" w:type="dxa"/>
            <w:left w:w="108" w:type="dxa"/>
            <w:bottom w:w="0" w:type="dxa"/>
            <w:right w:w="108" w:type="dxa"/>
          </w:tblCellMar>
        </w:tblPrEx>
        <w:trPr>
          <w:trHeight w:val="421" w:hRule="atLeast"/>
          <w:jc w:val="center"/>
        </w:trPr>
        <w:tc>
          <w:tcPr>
            <w:tcW w:w="1925" w:type="pct"/>
            <w:vMerge w:val="continue"/>
            <w:tcBorders>
              <w:left w:val="single" w:color="auto" w:sz="4" w:space="0"/>
              <w:bottom w:val="single" w:color="auto" w:sz="4" w:space="0"/>
              <w:right w:val="single" w:color="auto" w:sz="4" w:space="0"/>
            </w:tcBorders>
            <w:noWrap w:val="0"/>
            <w:vAlign w:val="center"/>
          </w:tcPr>
          <w:p>
            <w:pPr>
              <w:widowControl/>
              <w:jc w:val="center"/>
              <w:rPr>
                <w:rFonts w:eastAsia="仿宋"/>
                <w:kern w:val="0"/>
                <w:szCs w:val="21"/>
              </w:rPr>
            </w:pPr>
          </w:p>
        </w:tc>
        <w:tc>
          <w:tcPr>
            <w:tcW w:w="954"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bottom"/>
              <w:rPr>
                <w:rFonts w:hint="default"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867</w:t>
            </w:r>
          </w:p>
        </w:tc>
        <w:tc>
          <w:tcPr>
            <w:tcW w:w="1216"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bottom"/>
              <w:rPr>
                <w:rFonts w:hint="default"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737</w:t>
            </w:r>
          </w:p>
        </w:tc>
        <w:tc>
          <w:tcPr>
            <w:tcW w:w="903" w:type="pct"/>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85.01%</w:t>
            </w:r>
          </w:p>
        </w:tc>
      </w:tr>
      <w:tr>
        <w:tblPrEx>
          <w:tblCellMar>
            <w:top w:w="0" w:type="dxa"/>
            <w:left w:w="108" w:type="dxa"/>
            <w:bottom w:w="0" w:type="dxa"/>
            <w:right w:w="108" w:type="dxa"/>
          </w:tblCellMar>
        </w:tblPrEx>
        <w:trPr>
          <w:trHeight w:val="465"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center"/>
              <w:rPr>
                <w:rFonts w:eastAsia="仿宋"/>
                <w:kern w:val="0"/>
                <w:szCs w:val="21"/>
              </w:rPr>
            </w:pPr>
            <w:r>
              <w:rPr>
                <w:rFonts w:eastAsia="仿宋"/>
                <w:kern w:val="0"/>
                <w:szCs w:val="21"/>
              </w:rPr>
              <w:t>经费控制情况</w:t>
            </w:r>
          </w:p>
        </w:tc>
        <w:tc>
          <w:tcPr>
            <w:tcW w:w="954" w:type="pct"/>
            <w:tcBorders>
              <w:top w:val="single" w:color="auto" w:sz="4" w:space="0"/>
              <w:left w:val="nil"/>
              <w:bottom w:val="single" w:color="auto" w:sz="4" w:space="0"/>
              <w:right w:val="single" w:color="000000" w:sz="4" w:space="0"/>
            </w:tcBorders>
            <w:noWrap w:val="0"/>
            <w:vAlign w:val="center"/>
          </w:tcPr>
          <w:p>
            <w:pPr>
              <w:widowControl/>
              <w:jc w:val="center"/>
              <w:rPr>
                <w:rFonts w:hint="eastAsia" w:eastAsia="仿宋"/>
                <w:kern w:val="0"/>
                <w:szCs w:val="21"/>
              </w:rPr>
            </w:pPr>
            <w:r>
              <w:rPr>
                <w:rFonts w:hint="eastAsia" w:eastAsia="仿宋"/>
                <w:kern w:val="0"/>
                <w:szCs w:val="21"/>
              </w:rPr>
              <w:t>202</w:t>
            </w:r>
            <w:r>
              <w:rPr>
                <w:rFonts w:hint="eastAsia" w:eastAsia="仿宋"/>
                <w:kern w:val="0"/>
                <w:szCs w:val="21"/>
                <w:lang w:val="en-US" w:eastAsia="zh-CN"/>
              </w:rPr>
              <w:t>1</w:t>
            </w:r>
            <w:r>
              <w:rPr>
                <w:rFonts w:hint="eastAsia" w:eastAsia="仿宋"/>
                <w:kern w:val="0"/>
                <w:szCs w:val="21"/>
              </w:rPr>
              <w:t>年决算数</w:t>
            </w:r>
          </w:p>
        </w:tc>
        <w:tc>
          <w:tcPr>
            <w:tcW w:w="1216" w:type="pct"/>
            <w:tcBorders>
              <w:top w:val="single" w:color="auto" w:sz="4" w:space="0"/>
              <w:left w:val="nil"/>
              <w:bottom w:val="single" w:color="auto" w:sz="4" w:space="0"/>
              <w:right w:val="single" w:color="000000" w:sz="4" w:space="0"/>
            </w:tcBorders>
            <w:noWrap w:val="0"/>
            <w:vAlign w:val="center"/>
          </w:tcPr>
          <w:p>
            <w:pPr>
              <w:widowControl/>
              <w:jc w:val="center"/>
              <w:rPr>
                <w:rFonts w:hint="eastAsia" w:eastAsia="仿宋"/>
                <w:kern w:val="0"/>
                <w:szCs w:val="21"/>
              </w:rPr>
            </w:pPr>
            <w:r>
              <w:rPr>
                <w:rFonts w:hint="eastAsia" w:eastAsia="仿宋"/>
                <w:kern w:val="0"/>
                <w:szCs w:val="21"/>
              </w:rPr>
              <w:t>202</w:t>
            </w:r>
            <w:r>
              <w:rPr>
                <w:rFonts w:hint="eastAsia" w:eastAsia="仿宋"/>
                <w:kern w:val="0"/>
                <w:szCs w:val="21"/>
                <w:lang w:val="en-US" w:eastAsia="zh-CN"/>
              </w:rPr>
              <w:t>2</w:t>
            </w:r>
            <w:r>
              <w:rPr>
                <w:rFonts w:hint="eastAsia" w:eastAsia="仿宋"/>
                <w:kern w:val="0"/>
                <w:szCs w:val="21"/>
              </w:rPr>
              <w:t>年预算数</w:t>
            </w:r>
          </w:p>
        </w:tc>
        <w:tc>
          <w:tcPr>
            <w:tcW w:w="903" w:type="pct"/>
            <w:tcBorders>
              <w:top w:val="single" w:color="auto" w:sz="4" w:space="0"/>
              <w:left w:val="nil"/>
              <w:bottom w:val="single" w:color="auto" w:sz="4" w:space="0"/>
              <w:right w:val="single" w:color="000000" w:sz="4" w:space="0"/>
            </w:tcBorders>
            <w:noWrap w:val="0"/>
            <w:vAlign w:val="center"/>
          </w:tcPr>
          <w:p>
            <w:pPr>
              <w:widowControl/>
              <w:jc w:val="center"/>
              <w:rPr>
                <w:rFonts w:hint="eastAsia" w:eastAsia="仿宋"/>
                <w:kern w:val="0"/>
                <w:szCs w:val="21"/>
              </w:rPr>
            </w:pPr>
            <w:r>
              <w:rPr>
                <w:rFonts w:hint="eastAsia" w:eastAsia="仿宋"/>
                <w:kern w:val="0"/>
                <w:szCs w:val="21"/>
              </w:rPr>
              <w:t>202</w:t>
            </w:r>
            <w:r>
              <w:rPr>
                <w:rFonts w:hint="eastAsia" w:eastAsia="仿宋"/>
                <w:kern w:val="0"/>
                <w:szCs w:val="21"/>
                <w:lang w:val="en-US" w:eastAsia="zh-CN"/>
              </w:rPr>
              <w:t>2</w:t>
            </w:r>
            <w:r>
              <w:rPr>
                <w:rFonts w:hint="eastAsia" w:eastAsia="仿宋"/>
                <w:kern w:val="0"/>
                <w:szCs w:val="21"/>
              </w:rPr>
              <w:t>年决算数</w:t>
            </w:r>
          </w:p>
        </w:tc>
      </w:tr>
      <w:tr>
        <w:tblPrEx>
          <w:tblCellMar>
            <w:top w:w="0" w:type="dxa"/>
            <w:left w:w="108" w:type="dxa"/>
            <w:bottom w:w="0" w:type="dxa"/>
            <w:right w:w="108" w:type="dxa"/>
          </w:tblCellMar>
        </w:tblPrEx>
        <w:trPr>
          <w:trHeight w:val="458"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eastAsia="仿宋"/>
                <w:kern w:val="0"/>
                <w:szCs w:val="21"/>
              </w:rPr>
            </w:pPr>
            <w:r>
              <w:rPr>
                <w:rFonts w:eastAsia="仿宋"/>
                <w:kern w:val="0"/>
                <w:szCs w:val="21"/>
              </w:rPr>
              <w:t>一、部门基本支出</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default" w:ascii="宋体" w:hAnsi="宋体" w:eastAsia="宋体" w:cs="宋体"/>
                <w:i w:val="0"/>
                <w:iCs w:val="0"/>
                <w:snapToGrid w:val="0"/>
                <w:color w:val="auto"/>
                <w:kern w:val="0"/>
                <w:sz w:val="21"/>
                <w:szCs w:val="21"/>
                <w:u w:val="none"/>
                <w:lang w:val="en-US" w:eastAsia="zh-CN" w:bidi="ar"/>
              </w:rPr>
              <w:t>16,208.69</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12,162.40</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16,069.46</w:t>
            </w:r>
          </w:p>
        </w:tc>
      </w:tr>
      <w:tr>
        <w:tblPrEx>
          <w:tblCellMar>
            <w:top w:w="0" w:type="dxa"/>
            <w:left w:w="108" w:type="dxa"/>
            <w:bottom w:w="0" w:type="dxa"/>
            <w:right w:w="108" w:type="dxa"/>
          </w:tblCellMar>
        </w:tblPrEx>
        <w:trPr>
          <w:trHeight w:val="400"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eastAsia="仿宋"/>
                <w:kern w:val="0"/>
                <w:szCs w:val="21"/>
              </w:rPr>
            </w:pPr>
            <w:r>
              <w:rPr>
                <w:rFonts w:hint="eastAsia" w:eastAsia="仿宋"/>
                <w:kern w:val="0"/>
                <w:szCs w:val="21"/>
              </w:rPr>
              <w:t>1、人员经费</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default" w:ascii="宋体" w:hAnsi="宋体" w:eastAsia="宋体" w:cs="宋体"/>
                <w:i w:val="0"/>
                <w:iCs w:val="0"/>
                <w:snapToGrid w:val="0"/>
                <w:color w:val="auto"/>
                <w:kern w:val="0"/>
                <w:sz w:val="21"/>
                <w:szCs w:val="21"/>
                <w:u w:val="none"/>
                <w:lang w:val="en-US" w:eastAsia="zh-CN" w:bidi="ar"/>
              </w:rPr>
              <w:t>10,801.75</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11,636.86</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12,586.88</w:t>
            </w:r>
          </w:p>
        </w:tc>
      </w:tr>
      <w:tr>
        <w:tblPrEx>
          <w:tblCellMar>
            <w:top w:w="0" w:type="dxa"/>
            <w:left w:w="108" w:type="dxa"/>
            <w:bottom w:w="0" w:type="dxa"/>
            <w:right w:w="108" w:type="dxa"/>
          </w:tblCellMar>
        </w:tblPrEx>
        <w:trPr>
          <w:trHeight w:val="400"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eastAsia="仿宋"/>
                <w:kern w:val="0"/>
                <w:szCs w:val="21"/>
              </w:rPr>
            </w:pPr>
            <w:r>
              <w:rPr>
                <w:rFonts w:hint="eastAsia" w:eastAsia="仿宋"/>
                <w:kern w:val="0"/>
                <w:szCs w:val="21"/>
              </w:rPr>
              <w:t>2、公用经费</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default" w:ascii="宋体" w:hAnsi="宋体" w:eastAsia="宋体" w:cs="宋体"/>
                <w:i w:val="0"/>
                <w:iCs w:val="0"/>
                <w:snapToGrid w:val="0"/>
                <w:color w:val="auto"/>
                <w:kern w:val="0"/>
                <w:sz w:val="21"/>
                <w:szCs w:val="21"/>
                <w:u w:val="none"/>
                <w:lang w:val="en-US" w:eastAsia="zh-CN" w:bidi="ar"/>
              </w:rPr>
              <w:t>5,406.94</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525.54</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3,482.58</w:t>
            </w:r>
          </w:p>
        </w:tc>
      </w:tr>
      <w:tr>
        <w:tblPrEx>
          <w:tblCellMar>
            <w:top w:w="0" w:type="dxa"/>
            <w:left w:w="108" w:type="dxa"/>
            <w:bottom w:w="0" w:type="dxa"/>
            <w:right w:w="108" w:type="dxa"/>
          </w:tblCellMar>
        </w:tblPrEx>
        <w:trPr>
          <w:trHeight w:val="400"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eastAsia="仿宋"/>
                <w:kern w:val="0"/>
                <w:szCs w:val="21"/>
              </w:rPr>
            </w:pPr>
            <w:r>
              <w:rPr>
                <w:rFonts w:eastAsia="仿宋"/>
                <w:kern w:val="0"/>
                <w:szCs w:val="21"/>
              </w:rPr>
              <w:t xml:space="preserve">    </w:t>
            </w:r>
            <w:r>
              <w:rPr>
                <w:rFonts w:hint="eastAsia" w:eastAsia="仿宋"/>
                <w:kern w:val="0"/>
                <w:szCs w:val="21"/>
                <w:lang w:val="en-US" w:eastAsia="zh-CN"/>
              </w:rPr>
              <w:t>其中：三公经费</w:t>
            </w:r>
            <w:r>
              <w:rPr>
                <w:rFonts w:eastAsia="仿宋"/>
                <w:kern w:val="0"/>
                <w:szCs w:val="21"/>
              </w:rPr>
              <w:t xml:space="preserve">     </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26.96</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default"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160.00</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41.35</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eastAsia="仿宋"/>
                <w:kern w:val="0"/>
                <w:szCs w:val="21"/>
              </w:rPr>
            </w:pPr>
            <w:r>
              <w:rPr>
                <w:rFonts w:eastAsia="仿宋"/>
                <w:kern w:val="0"/>
                <w:szCs w:val="21"/>
              </w:rPr>
              <w:t xml:space="preserve">   </w:t>
            </w:r>
            <w:r>
              <w:rPr>
                <w:rFonts w:hint="eastAsia" w:eastAsia="仿宋"/>
                <w:kern w:val="0"/>
                <w:szCs w:val="21"/>
                <w:lang w:eastAsia="zh-CN"/>
              </w:rPr>
              <w:t>（</w:t>
            </w:r>
            <w:r>
              <w:rPr>
                <w:rFonts w:hint="eastAsia" w:eastAsia="仿宋"/>
                <w:kern w:val="0"/>
                <w:szCs w:val="21"/>
                <w:lang w:val="en-US" w:eastAsia="zh-CN"/>
              </w:rPr>
              <w:t>1</w:t>
            </w:r>
            <w:r>
              <w:rPr>
                <w:rFonts w:hint="eastAsia" w:eastAsia="仿宋"/>
                <w:kern w:val="0"/>
                <w:szCs w:val="21"/>
                <w:lang w:eastAsia="zh-CN"/>
              </w:rPr>
              <w:t>）</w:t>
            </w:r>
            <w:r>
              <w:rPr>
                <w:rFonts w:eastAsia="仿宋"/>
                <w:kern w:val="0"/>
                <w:szCs w:val="21"/>
              </w:rPr>
              <w:t>公务用车购置和维护经费</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10.93</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default"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80.00</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19.12</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eastAsia="仿宋"/>
                <w:kern w:val="0"/>
                <w:szCs w:val="21"/>
              </w:rPr>
            </w:pPr>
            <w:r>
              <w:rPr>
                <w:rFonts w:eastAsia="仿宋"/>
                <w:kern w:val="0"/>
                <w:szCs w:val="21"/>
              </w:rPr>
              <w:t xml:space="preserve">       其中：公车购置</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0.00　</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default"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18.00</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22.23</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eastAsia="仿宋"/>
                <w:kern w:val="0"/>
                <w:szCs w:val="21"/>
              </w:rPr>
            </w:pPr>
            <w:r>
              <w:rPr>
                <w:rFonts w:eastAsia="仿宋"/>
                <w:kern w:val="0"/>
                <w:szCs w:val="21"/>
              </w:rPr>
              <w:t xml:space="preserve">             公车运行维护</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10.93</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default"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62.00</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11.44</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eastAsia="仿宋"/>
                <w:kern w:val="0"/>
                <w:szCs w:val="21"/>
              </w:rPr>
            </w:pPr>
            <w:r>
              <w:rPr>
                <w:rFonts w:eastAsia="仿宋"/>
                <w:kern w:val="0"/>
                <w:szCs w:val="21"/>
              </w:rPr>
              <w:t xml:space="preserve">   </w:t>
            </w:r>
            <w:r>
              <w:rPr>
                <w:rFonts w:hint="eastAsia" w:eastAsia="仿宋"/>
                <w:kern w:val="0"/>
                <w:szCs w:val="21"/>
                <w:lang w:eastAsia="zh-CN"/>
              </w:rPr>
              <w:t>（</w:t>
            </w:r>
            <w:r>
              <w:rPr>
                <w:rFonts w:hint="eastAsia" w:eastAsia="仿宋"/>
                <w:kern w:val="0"/>
                <w:szCs w:val="21"/>
                <w:lang w:val="en-US" w:eastAsia="zh-CN"/>
              </w:rPr>
              <w:t>2</w:t>
            </w:r>
            <w:r>
              <w:rPr>
                <w:rFonts w:hint="eastAsia" w:eastAsia="仿宋"/>
                <w:kern w:val="0"/>
                <w:szCs w:val="21"/>
                <w:lang w:eastAsia="zh-CN"/>
              </w:rPr>
              <w:t>）</w:t>
            </w:r>
            <w:r>
              <w:rPr>
                <w:rFonts w:eastAsia="仿宋"/>
                <w:kern w:val="0"/>
                <w:szCs w:val="21"/>
              </w:rPr>
              <w:t>出国经费</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0.00　</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20.00　</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default"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0.00</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eastAsia="仿宋"/>
                <w:kern w:val="0"/>
                <w:szCs w:val="21"/>
              </w:rPr>
            </w:pPr>
            <w:r>
              <w:rPr>
                <w:rFonts w:eastAsia="仿宋"/>
                <w:kern w:val="0"/>
                <w:szCs w:val="21"/>
              </w:rPr>
              <w:t xml:space="preserve">   </w:t>
            </w:r>
            <w:r>
              <w:rPr>
                <w:rFonts w:hint="eastAsia" w:eastAsia="仿宋"/>
                <w:kern w:val="0"/>
                <w:szCs w:val="21"/>
                <w:lang w:eastAsia="zh-CN"/>
              </w:rPr>
              <w:t>（</w:t>
            </w:r>
            <w:r>
              <w:rPr>
                <w:rFonts w:hint="eastAsia" w:eastAsia="仿宋"/>
                <w:kern w:val="0"/>
                <w:szCs w:val="21"/>
                <w:lang w:val="en-US" w:eastAsia="zh-CN"/>
              </w:rPr>
              <w:t>3</w:t>
            </w:r>
            <w:r>
              <w:rPr>
                <w:rFonts w:hint="eastAsia" w:eastAsia="仿宋"/>
                <w:kern w:val="0"/>
                <w:szCs w:val="21"/>
                <w:lang w:eastAsia="zh-CN"/>
              </w:rPr>
              <w:t>）</w:t>
            </w:r>
            <w:r>
              <w:rPr>
                <w:rFonts w:eastAsia="仿宋"/>
                <w:kern w:val="0"/>
                <w:szCs w:val="21"/>
              </w:rPr>
              <w:t>公务接待</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16.04</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60.00　</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41.35</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eastAsia="仿宋"/>
                <w:kern w:val="0"/>
                <w:szCs w:val="21"/>
              </w:rPr>
            </w:pPr>
            <w:r>
              <w:rPr>
                <w:rFonts w:eastAsia="仿宋"/>
                <w:kern w:val="0"/>
                <w:szCs w:val="21"/>
              </w:rPr>
              <w:t>二、部门项目支出</w:t>
            </w:r>
          </w:p>
        </w:tc>
        <w:tc>
          <w:tcPr>
            <w:tcW w:w="1705" w:type="dxa"/>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2,561.89</w:t>
            </w:r>
          </w:p>
        </w:tc>
        <w:tc>
          <w:tcPr>
            <w:tcW w:w="2173" w:type="dxa"/>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10,322.15</w:t>
            </w:r>
          </w:p>
        </w:tc>
        <w:tc>
          <w:tcPr>
            <w:tcW w:w="1615" w:type="dxa"/>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3,480.67</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hint="eastAsia" w:ascii="仿宋" w:hAnsi="仿宋" w:eastAsia="仿宋" w:cs="仿宋"/>
                <w:kern w:val="0"/>
                <w:szCs w:val="21"/>
              </w:rPr>
            </w:pPr>
            <w:r>
              <w:rPr>
                <w:rFonts w:hint="eastAsia" w:ascii="仿宋" w:hAnsi="仿宋" w:eastAsia="仿宋" w:cs="仿宋"/>
                <w:kern w:val="0"/>
                <w:szCs w:val="21"/>
              </w:rPr>
              <w:t>1、</w:t>
            </w:r>
            <w:r>
              <w:rPr>
                <w:rFonts w:hint="eastAsia" w:ascii="仿宋" w:hAnsi="仿宋" w:eastAsia="仿宋" w:cs="仿宋"/>
                <w:kern w:val="0"/>
                <w:szCs w:val="21"/>
                <w:lang w:eastAsia="zh-CN"/>
              </w:rPr>
              <w:t>衡阳市公共实训基地</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2,327.94　</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hint="eastAsia" w:ascii="仿宋" w:hAnsi="仿宋" w:eastAsia="仿宋" w:cs="仿宋"/>
                <w:kern w:val="0"/>
                <w:szCs w:val="21"/>
              </w:rPr>
            </w:pPr>
            <w:r>
              <w:rPr>
                <w:rFonts w:hint="eastAsia" w:ascii="仿宋" w:hAnsi="仿宋" w:eastAsia="仿宋" w:cs="仿宋"/>
                <w:kern w:val="0"/>
                <w:szCs w:val="21"/>
              </w:rPr>
              <w:t>2、</w:t>
            </w:r>
            <w:r>
              <w:rPr>
                <w:rFonts w:hint="eastAsia" w:ascii="仿宋" w:hAnsi="仿宋" w:eastAsia="仿宋" w:cs="仿宋"/>
                <w:kern w:val="0"/>
                <w:szCs w:val="21"/>
                <w:lang w:eastAsia="zh-CN"/>
              </w:rPr>
              <w:t>东院老旧小区改造</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233.95</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hint="eastAsia" w:ascii="仿宋" w:hAnsi="仿宋" w:eastAsia="仿宋" w:cs="仿宋"/>
                <w:kern w:val="0"/>
                <w:szCs w:val="21"/>
                <w:lang w:eastAsia="zh-CN"/>
              </w:rPr>
            </w:pPr>
            <w:r>
              <w:rPr>
                <w:rFonts w:hint="eastAsia" w:ascii="仿宋" w:hAnsi="仿宋" w:eastAsia="仿宋" w:cs="仿宋"/>
                <w:kern w:val="0"/>
                <w:szCs w:val="21"/>
                <w:lang w:val="en-US" w:eastAsia="zh-CN"/>
              </w:rPr>
              <w:t>3、</w:t>
            </w:r>
            <w:r>
              <w:rPr>
                <w:rFonts w:hint="eastAsia" w:ascii="仿宋" w:hAnsi="仿宋" w:eastAsia="仿宋" w:cs="仿宋"/>
                <w:kern w:val="0"/>
                <w:szCs w:val="21"/>
                <w:lang w:eastAsia="zh-CN"/>
              </w:rPr>
              <w:t>教学实训和学生管理经费</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4,022.15</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　</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4、</w:t>
            </w:r>
            <w:r>
              <w:rPr>
                <w:rFonts w:hint="default" w:ascii="仿宋" w:hAnsi="仿宋" w:eastAsia="仿宋" w:cs="仿宋"/>
                <w:kern w:val="0"/>
                <w:szCs w:val="21"/>
                <w:lang w:val="en-US" w:eastAsia="zh-CN"/>
              </w:rPr>
              <w:t>学院建设和发展支出</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4,400.00</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default"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hint="eastAsia" w:ascii="仿宋" w:hAnsi="仿宋" w:eastAsia="仿宋" w:cs="仿宋"/>
                <w:color w:val="0000FF"/>
                <w:kern w:val="0"/>
                <w:szCs w:val="21"/>
                <w:lang w:val="en-US" w:eastAsia="zh-CN"/>
              </w:rPr>
            </w:pPr>
            <w:r>
              <w:rPr>
                <w:rFonts w:hint="eastAsia" w:ascii="仿宋" w:hAnsi="仿宋" w:eastAsia="仿宋" w:cs="仿宋"/>
                <w:kern w:val="0"/>
                <w:szCs w:val="21"/>
                <w:lang w:val="en-US" w:eastAsia="zh-CN"/>
              </w:rPr>
              <w:t>5、债务利息支出</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default"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1,900.00</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446.57</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6、公共实训基地配套设施</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default"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1,996.34</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7、高技能人才项目建设</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2.58</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8、高技能数控项目</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438.57</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ind w:firstLine="210" w:firstLineChars="100"/>
              <w:jc w:val="left"/>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9、公共实训基地光电技术</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596.61</w:t>
            </w:r>
          </w:p>
        </w:tc>
      </w:tr>
      <w:tr>
        <w:tblPrEx>
          <w:tblCellMar>
            <w:top w:w="0" w:type="dxa"/>
            <w:left w:w="108" w:type="dxa"/>
            <w:bottom w:w="0" w:type="dxa"/>
            <w:right w:w="108" w:type="dxa"/>
          </w:tblCellMar>
        </w:tblPrEx>
        <w:trPr>
          <w:trHeight w:val="454"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kern w:val="0"/>
                <w:szCs w:val="21"/>
                <w:lang w:val="en-US" w:eastAsia="zh-CN"/>
              </w:rPr>
            </w:pPr>
            <w:r>
              <w:rPr>
                <w:rFonts w:hint="eastAsia" w:ascii="仿宋" w:hAnsi="仿宋" w:eastAsia="仿宋" w:cs="仿宋"/>
                <w:kern w:val="0"/>
                <w:szCs w:val="21"/>
                <w:lang w:val="en-US" w:eastAsia="zh-CN"/>
              </w:rPr>
              <w:t>政府采购金额</w:t>
            </w:r>
          </w:p>
        </w:tc>
        <w:tc>
          <w:tcPr>
            <w:tcW w:w="954"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b/>
                <w:bCs/>
                <w:i w:val="0"/>
                <w:iCs w:val="0"/>
                <w:snapToGrid w:val="0"/>
                <w:color w:val="FF0000"/>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3475.65</w:t>
            </w:r>
          </w:p>
        </w:tc>
        <w:tc>
          <w:tcPr>
            <w:tcW w:w="1216"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default" w:ascii="宋体" w:hAnsi="宋体" w:eastAsia="宋体" w:cs="宋体"/>
                <w:b/>
                <w:bCs/>
                <w:i w:val="0"/>
                <w:iCs w:val="0"/>
                <w:snapToGrid w:val="0"/>
                <w:color w:val="FF0000"/>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7,630.00</w:t>
            </w:r>
          </w:p>
        </w:tc>
        <w:tc>
          <w:tcPr>
            <w:tcW w:w="903" w:type="pct"/>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bottom"/>
              <w:rPr>
                <w:rFonts w:hint="eastAsia" w:ascii="宋体" w:hAnsi="宋体" w:eastAsia="宋体" w:cs="宋体"/>
                <w:i w:val="0"/>
                <w:iCs w:val="0"/>
                <w:snapToGrid w:val="0"/>
                <w:color w:val="auto"/>
                <w:kern w:val="0"/>
                <w:sz w:val="21"/>
                <w:szCs w:val="21"/>
                <w:u w:val="none"/>
                <w:lang w:val="en-US" w:eastAsia="zh-CN" w:bidi="ar"/>
              </w:rPr>
            </w:pPr>
            <w:r>
              <w:rPr>
                <w:rFonts w:hint="eastAsia" w:ascii="宋体" w:hAnsi="宋体" w:eastAsia="宋体" w:cs="宋体"/>
                <w:i w:val="0"/>
                <w:iCs w:val="0"/>
                <w:snapToGrid w:val="0"/>
                <w:color w:val="auto"/>
                <w:kern w:val="0"/>
                <w:sz w:val="21"/>
                <w:szCs w:val="21"/>
                <w:u w:val="none"/>
                <w:lang w:val="en-US" w:eastAsia="zh-CN" w:bidi="ar"/>
              </w:rPr>
              <w:t xml:space="preserve">5,278.11 </w:t>
            </w:r>
          </w:p>
        </w:tc>
      </w:tr>
      <w:tr>
        <w:tblPrEx>
          <w:tblCellMar>
            <w:top w:w="0" w:type="dxa"/>
            <w:left w:w="108" w:type="dxa"/>
            <w:bottom w:w="0" w:type="dxa"/>
            <w:right w:w="108" w:type="dxa"/>
          </w:tblCellMar>
        </w:tblPrEx>
        <w:trPr>
          <w:trHeight w:val="90" w:hRule="atLeast"/>
          <w:jc w:val="center"/>
        </w:trPr>
        <w:tc>
          <w:tcPr>
            <w:tcW w:w="1925" w:type="pct"/>
            <w:tcBorders>
              <w:top w:val="nil"/>
              <w:left w:val="single" w:color="auto" w:sz="4" w:space="0"/>
              <w:bottom w:val="single" w:color="auto" w:sz="4" w:space="0"/>
              <w:right w:val="single" w:color="auto" w:sz="4" w:space="0"/>
            </w:tcBorders>
            <w:noWrap w:val="0"/>
            <w:vAlign w:val="center"/>
          </w:tcPr>
          <w:p>
            <w:pPr>
              <w:widowControl/>
              <w:jc w:val="center"/>
              <w:rPr>
                <w:rFonts w:eastAsia="仿宋"/>
                <w:kern w:val="0"/>
                <w:szCs w:val="21"/>
              </w:rPr>
            </w:pPr>
            <w:r>
              <w:rPr>
                <w:rFonts w:eastAsia="仿宋"/>
                <w:kern w:val="0"/>
                <w:szCs w:val="21"/>
              </w:rPr>
              <w:t>厉行节约保障措施等相关情况</w:t>
            </w:r>
          </w:p>
        </w:tc>
        <w:tc>
          <w:tcPr>
            <w:tcW w:w="3074" w:type="pct"/>
            <w:gridSpan w:val="3"/>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ind w:left="-42" w:leftChars="-20" w:right="-42" w:rightChars="-20"/>
              <w:jc w:val="both"/>
              <w:textAlignment w:val="baseline"/>
              <w:rPr>
                <w:rFonts w:eastAsia="仿宋_GB2312"/>
                <w:kern w:val="0"/>
                <w:szCs w:val="21"/>
              </w:rPr>
            </w:pPr>
            <w:r>
              <w:rPr>
                <w:rFonts w:hint="eastAsia" w:eastAsia="仿宋"/>
                <w:kern w:val="0"/>
                <w:szCs w:val="21"/>
              </w:rPr>
              <w:t>严格执行单位《财务管理办法》，严控三公、差旅、会议、培训及项目相关费用支出，明确零星及大宗采购和工程支出流程。</w:t>
            </w:r>
            <w:r>
              <w:rPr>
                <w:rFonts w:ascii="Times New Roman" w:hAnsi="Times New Roman"/>
                <w:kern w:val="0"/>
                <w:szCs w:val="21"/>
              </w:rPr>
              <w:t>　</w:t>
            </w:r>
            <w:r>
              <w:rPr>
                <w:rFonts w:eastAsia="仿宋_GB2312"/>
                <w:kern w:val="0"/>
                <w:szCs w:val="21"/>
              </w:rPr>
              <w:t>　</w:t>
            </w:r>
          </w:p>
        </w:tc>
      </w:tr>
    </w:tbl>
    <w:p>
      <w:pPr>
        <w:widowControl/>
        <w:tabs>
          <w:tab w:val="left" w:pos="3611"/>
          <w:tab w:val="left" w:pos="4791"/>
          <w:tab w:val="left" w:pos="6195"/>
          <w:tab w:val="left" w:pos="7071"/>
          <w:tab w:val="left" w:pos="8191"/>
          <w:tab w:val="left" w:pos="9311"/>
        </w:tabs>
        <w:ind w:left="91"/>
        <w:jc w:val="left"/>
        <w:rPr>
          <w:rFonts w:eastAsia="仿宋"/>
          <w:kern w:val="0"/>
          <w:sz w:val="24"/>
        </w:rPr>
      </w:pPr>
    </w:p>
    <w:p>
      <w:pPr>
        <w:rPr>
          <w:rFonts w:eastAsia="仿宋"/>
          <w:sz w:val="32"/>
          <w:szCs w:val="32"/>
        </w:rPr>
      </w:pPr>
      <w:r>
        <w:rPr>
          <w:rFonts w:eastAsia="仿宋"/>
          <w:kern w:val="0"/>
          <w:sz w:val="22"/>
          <w:szCs w:val="22"/>
        </w:rPr>
        <w:t>说明：“项目支出”需要填报基本支出以外的所有项目支出情况，包括业务工作项目运行维护项目和市级专项资金等；“公用经费”填报基本支出中的一般商品和服务支出。</w:t>
      </w:r>
    </w:p>
    <w:p>
      <w:pPr>
        <w:spacing w:line="620" w:lineRule="exact"/>
        <w:rPr>
          <w:rFonts w:hAnsi="黑体" w:eastAsia="黑体"/>
          <w:sz w:val="32"/>
          <w:szCs w:val="32"/>
        </w:rPr>
        <w:sectPr>
          <w:footerReference r:id="rId5" w:type="default"/>
          <w:pgSz w:w="11906" w:h="16838"/>
          <w:pgMar w:top="1440" w:right="1800" w:bottom="1440" w:left="1800" w:header="851" w:footer="992" w:gutter="0"/>
          <w:pgNumType w:fmt="decimal" w:start="1"/>
          <w:cols w:space="425" w:num="1"/>
          <w:docGrid w:type="lines" w:linePitch="312" w:charSpace="0"/>
        </w:sectPr>
      </w:pPr>
    </w:p>
    <w:p>
      <w:pPr>
        <w:spacing w:line="620" w:lineRule="exact"/>
        <w:rPr>
          <w:rFonts w:hint="eastAsia" w:eastAsia="黑体"/>
          <w:sz w:val="32"/>
          <w:szCs w:val="32"/>
          <w:lang w:val="en-US" w:eastAsia="zh-CN"/>
        </w:rPr>
      </w:pPr>
      <w:r>
        <w:rPr>
          <w:rFonts w:hAnsi="黑体" w:eastAsia="黑体"/>
          <w:sz w:val="32"/>
          <w:szCs w:val="32"/>
        </w:rPr>
        <w:t>附件</w:t>
      </w:r>
      <w:r>
        <w:rPr>
          <w:rFonts w:hint="eastAsia" w:eastAsia="黑体"/>
          <w:sz w:val="32"/>
          <w:szCs w:val="32"/>
          <w:lang w:val="en-US" w:eastAsia="zh-CN"/>
        </w:rPr>
        <w:t>2</w:t>
      </w:r>
    </w:p>
    <w:p>
      <w:pPr>
        <w:spacing w:line="620" w:lineRule="exact"/>
        <w:jc w:val="center"/>
        <w:rPr>
          <w:rFonts w:hint="eastAsia" w:ascii="Times New Roman" w:hAnsi="Times New Roman" w:eastAsia="方正小标宋简体" w:cs="Times New Roman"/>
          <w:kern w:val="0"/>
          <w:sz w:val="28"/>
          <w:szCs w:val="28"/>
        </w:rPr>
      </w:pPr>
      <w:r>
        <w:rPr>
          <w:rFonts w:hint="eastAsia" w:ascii="Times New Roman" w:hAnsi="Times New Roman" w:eastAsia="方正小标宋简体" w:cs="Times New Roman"/>
          <w:kern w:val="0"/>
          <w:sz w:val="28"/>
          <w:szCs w:val="28"/>
          <w:lang w:val="en-US" w:eastAsia="zh-CN"/>
        </w:rPr>
        <w:t>衡阳技师学院2022年度</w:t>
      </w:r>
      <w:r>
        <w:rPr>
          <w:rFonts w:ascii="Times New Roman" w:hAnsi="Times New Roman" w:eastAsia="方正小标宋简体" w:cs="Times New Roman"/>
          <w:kern w:val="0"/>
          <w:sz w:val="28"/>
          <w:szCs w:val="28"/>
        </w:rPr>
        <w:t>部门整体支出绩效评价指标及权重分值表</w:t>
      </w:r>
    </w:p>
    <w:tbl>
      <w:tblPr>
        <w:tblStyle w:val="9"/>
        <w:tblW w:w="488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2"/>
        <w:gridCol w:w="711"/>
        <w:gridCol w:w="1083"/>
        <w:gridCol w:w="479"/>
        <w:gridCol w:w="3556"/>
        <w:gridCol w:w="4693"/>
        <w:gridCol w:w="492"/>
        <w:gridCol w:w="20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blHeader/>
          <w:jc w:val="center"/>
        </w:trPr>
        <w:tc>
          <w:tcPr>
            <w:tcW w:w="260"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一级             指标</w:t>
            </w:r>
          </w:p>
        </w:tc>
        <w:tc>
          <w:tcPr>
            <w:tcW w:w="256"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二级         指标</w:t>
            </w:r>
          </w:p>
        </w:tc>
        <w:tc>
          <w:tcPr>
            <w:tcW w:w="391"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三级               指标</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分值</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评分要点</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评分标准</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得分</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2" w:hRule="atLeast"/>
          <w:jc w:val="center"/>
        </w:trPr>
        <w:tc>
          <w:tcPr>
            <w:tcW w:w="260" w:type="pct"/>
            <w:vMerge w:val="restart"/>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投入   （10分）</w:t>
            </w:r>
          </w:p>
        </w:tc>
        <w:tc>
          <w:tcPr>
            <w:tcW w:w="256" w:type="pct"/>
            <w:vMerge w:val="restar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目标</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设定</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（7分）</w:t>
            </w:r>
          </w:p>
        </w:tc>
        <w:tc>
          <w:tcPr>
            <w:tcW w:w="391" w:type="pct"/>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绩效目标合理性</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①是否符合国家法律法规、国民经济和社会发展总体规划；                                ②是否符合部门“三定”方案确定的职责；                             ③是否符合部门制定的发展实施规划；                   ④是否分别制定了整体绩效目标和项目绩效目标。</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lang w:val="en-US" w:eastAsia="zh-CN" w:bidi="ar"/>
              </w:rPr>
            </w:pPr>
            <w:r>
              <w:rPr>
                <w:rFonts w:hint="eastAsia" w:ascii="宋体" w:hAnsi="宋体" w:eastAsia="宋体" w:cs="宋体"/>
                <w:i w:val="0"/>
                <w:iCs w:val="0"/>
                <w:color w:val="000000"/>
                <w:kern w:val="0"/>
                <w:sz w:val="18"/>
                <w:szCs w:val="18"/>
                <w:u w:val="none"/>
                <w:lang w:val="en-US" w:eastAsia="zh-CN" w:bidi="ar"/>
              </w:rPr>
              <w:t>①符合国家相关法律法规，本市国民经济和社会发展规划，</w:t>
            </w:r>
            <w:r>
              <w:rPr>
                <w:rStyle w:val="14"/>
                <w:rFonts w:hint="eastAsia"/>
                <w:lang w:val="en-US" w:eastAsia="zh-CN" w:bidi="ar"/>
              </w:rPr>
              <w:t>计</w:t>
            </w:r>
            <w:r>
              <w:rPr>
                <w:rStyle w:val="14"/>
                <w:lang w:val="en-US" w:eastAsia="zh-CN" w:bidi="ar"/>
              </w:rPr>
              <w:t xml:space="preserve">0.5分，否则不得分；      </w:t>
            </w:r>
          </w:p>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Fonts w:hint="eastAsia" w:ascii="宋体" w:hAnsi="宋体" w:eastAsia="宋体" w:cs="宋体"/>
                <w:i w:val="0"/>
                <w:iCs w:val="0"/>
                <w:color w:val="000000"/>
                <w:sz w:val="18"/>
                <w:szCs w:val="18"/>
                <w:u w:val="none"/>
              </w:rPr>
            </w:pPr>
            <w:r>
              <w:rPr>
                <w:rStyle w:val="14"/>
                <w:lang w:val="en-US" w:eastAsia="zh-CN" w:bidi="ar"/>
              </w:rPr>
              <w:t>②与部门（单位）职责密切相关，计0.5分，否则不得分；                                             ③符合部门制定的发展实施规划，计0.5分，否则不得分；                                               ④按相关要求分别制定了整体绩效目标和项目绩效目标，计0.5分，否则不得分。</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0.5</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eastAsia"/>
                <w:sz w:val="21"/>
                <w:szCs w:val="21"/>
                <w:lang w:val="en-US" w:eastAsia="zh-CN" w:bidi="ar"/>
              </w:rPr>
            </w:pPr>
            <w:r>
              <w:rPr>
                <w:rStyle w:val="14"/>
                <w:rFonts w:hint="eastAsia"/>
                <w:sz w:val="21"/>
                <w:szCs w:val="21"/>
                <w:lang w:val="en-US" w:eastAsia="zh-CN" w:bidi="ar"/>
              </w:rPr>
              <w:t>未</w:t>
            </w:r>
            <w:r>
              <w:rPr>
                <w:rStyle w:val="14"/>
                <w:sz w:val="21"/>
                <w:szCs w:val="21"/>
                <w:lang w:val="en-US" w:eastAsia="zh-CN" w:bidi="ar"/>
              </w:rPr>
              <w:t>按相关要求制定</w:t>
            </w:r>
            <w:r>
              <w:rPr>
                <w:rStyle w:val="14"/>
                <w:rFonts w:hint="eastAsia"/>
                <w:sz w:val="21"/>
                <w:szCs w:val="21"/>
                <w:lang w:val="en-US" w:eastAsia="zh-CN" w:bidi="ar"/>
              </w:rPr>
              <w:t>绩效目标，扣1.5分。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8" w:hRule="atLeast"/>
          <w:jc w:val="center"/>
        </w:trPr>
        <w:tc>
          <w:tcPr>
            <w:tcW w:w="260" w:type="pct"/>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绩效指标明确性</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①是否将部门整体的绩效目标细化分解为具体的工作任务</w:t>
            </w:r>
            <w:r>
              <w:rPr>
                <w:rFonts w:hint="eastAsia" w:ascii="Calibri" w:hAnsi="Calibri" w:eastAsia="宋体" w:cs="Calibri"/>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②是否通过清晰、可衡量的指标值予以体现。                                                  ③是否将项目绩效目标与部门年度的任务数或计划数相对应；                                    ④是否与本年度部门预算资金相匹配。</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ind w:left="-63" w:leftChars="-30" w:right="-63" w:rightChars="-3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①有目标，计1分，否则不得分；                       ②目标明确，细化量化良好，个性指标中量化指标超过3个，计1分，量化指标为2个，计0.5分，2个以下不得分；                                              ③与年度任务数或计划数相对应，计1分，低于2个，计0.5分，低于4个不得分；                                   ④目标与资金匹配良好，逻辑关系明确，计1分，否则不得分。</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1.0</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eastAsia"/>
                <w:sz w:val="21"/>
                <w:szCs w:val="21"/>
                <w:lang w:val="en-US" w:eastAsia="zh-CN" w:bidi="ar"/>
              </w:rPr>
            </w:pPr>
            <w:r>
              <w:rPr>
                <w:rStyle w:val="14"/>
                <w:rFonts w:hint="eastAsia"/>
                <w:sz w:val="21"/>
                <w:szCs w:val="21"/>
                <w:lang w:val="en-US" w:eastAsia="zh-CN" w:bidi="ar"/>
              </w:rPr>
              <w:t>部分绩效指标未细化、量化，目标与资金不匹配，扣3.0分。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jc w:val="center"/>
        </w:trPr>
        <w:tc>
          <w:tcPr>
            <w:tcW w:w="260" w:type="pct"/>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预算配置（3分）</w:t>
            </w:r>
          </w:p>
        </w:tc>
        <w:tc>
          <w:tcPr>
            <w:tcW w:w="391"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在职人员控制率</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在职人员控制率</w:t>
            </w:r>
            <w:r>
              <w:rPr>
                <w:rStyle w:val="14"/>
                <w:lang w:val="en-US" w:eastAsia="zh-CN" w:bidi="ar"/>
              </w:rPr>
              <w:t>=（在职人员数/编制数）×100%。                                          聘用人员控制率≦编办批复的人数；                                              在职人员数：部门（单位）实际在职人数,以财政部门确定的部门决算编制口径为准；                             编制数：机构编制部门核定批复的部门（单位）的人员编制数。</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在职人员控制率≦</w:t>
            </w:r>
            <w:r>
              <w:rPr>
                <w:rStyle w:val="14"/>
                <w:lang w:val="en-US" w:eastAsia="zh-CN" w:bidi="ar"/>
              </w:rPr>
              <w:t xml:space="preserve">100%计2分，每超出1%扣0.2分，扣完为止。                                </w:t>
            </w:r>
            <w:r>
              <w:rPr>
                <w:rStyle w:val="14"/>
                <w:rFonts w:hint="eastAsia"/>
                <w:lang w:val="en-US" w:eastAsia="zh-CN" w:bidi="ar"/>
              </w:rPr>
              <w:t xml:space="preserve">                                                     </w:t>
            </w:r>
            <w:r>
              <w:rPr>
                <w:rStyle w:val="14"/>
                <w:lang w:val="en-US" w:eastAsia="zh-CN" w:bidi="ar"/>
              </w:rPr>
              <w:t xml:space="preserve">     聘用人员实际使用数小于等于编办批复数，计1分，否则不得分。</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2</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eastAsia"/>
                <w:sz w:val="21"/>
                <w:szCs w:val="21"/>
                <w:lang w:val="en-US" w:eastAsia="zh-CN" w:bidi="ar"/>
              </w:rPr>
            </w:pPr>
            <w:r>
              <w:rPr>
                <w:rStyle w:val="14"/>
                <w:rFonts w:hint="eastAsia"/>
                <w:sz w:val="21"/>
                <w:szCs w:val="21"/>
                <w:lang w:val="en-US" w:eastAsia="zh-CN" w:bidi="ar"/>
              </w:rPr>
              <w:t>在职人员控制率为85.01%。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jc w:val="center"/>
        </w:trPr>
        <w:tc>
          <w:tcPr>
            <w:tcW w:w="260" w:type="pct"/>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“三公经费”变动率</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“三公经费”变动率=〔（本年度“三公经费”预算数-上年度“三公经费”预算数）/上年度“三公经费”预算数〕×100%</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“三公经费”变动率≦0,计1分；“三公经费”变动率＞0，每超过一个百分点扣0.5分，扣完为止。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1</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sz w:val="21"/>
                <w:szCs w:val="21"/>
                <w:lang w:val="en-US" w:eastAsia="zh-CN" w:bidi="ar"/>
              </w:rPr>
            </w:pPr>
            <w:r>
              <w:rPr>
                <w:rStyle w:val="14"/>
                <w:rFonts w:hint="eastAsia"/>
                <w:sz w:val="21"/>
                <w:szCs w:val="21"/>
                <w:lang w:val="en-US" w:eastAsia="zh-CN" w:bidi="ar"/>
              </w:rPr>
              <w:t>三公经费变动率为0.00%。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260" w:type="pct"/>
            <w:vMerge w:val="restar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过程          （36分）</w:t>
            </w:r>
          </w:p>
        </w:tc>
        <w:tc>
          <w:tcPr>
            <w:tcW w:w="256" w:type="pct"/>
            <w:vMerge w:val="restart"/>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预算执行（16分）</w:t>
            </w:r>
          </w:p>
        </w:tc>
        <w:tc>
          <w:tcPr>
            <w:tcW w:w="391" w:type="pct"/>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预算            完成率 </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①预算完成率</w:t>
            </w:r>
            <w:r>
              <w:rPr>
                <w:rStyle w:val="14"/>
                <w:lang w:val="en-US" w:eastAsia="zh-CN" w:bidi="ar"/>
              </w:rPr>
              <w:t>=（预算完成数/预算数）×100%。预算完成数：部门（单位）本年度实际完成的预算数。预算数：财政部门批复的本年度部门（单位）预算数及追加的项目预算数。                                 ②绩效目标执行监控是否按要求完成。</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①全年预算完成率</w:t>
            </w:r>
            <w:r>
              <w:rPr>
                <w:rStyle w:val="14"/>
                <w:lang w:val="en-US" w:eastAsia="zh-CN" w:bidi="ar"/>
              </w:rPr>
              <w:t>95%以上计3分，95-90%（含），计2分，90-80%（含），计1分，小于80%不得分；                                             ②根据市财政局审核结果，评审为优，计2分；评审为良，计1.5分；评审为中，计1分；评审为低，计0.5分；评审为差，不得分。对未经市财政局审核的单位，有绩效目标执行监控的得2分，没有绩效目标执行监控的不得分。</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1</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sz w:val="21"/>
                <w:szCs w:val="21"/>
                <w:lang w:val="en-US" w:eastAsia="zh-CN" w:bidi="ar"/>
              </w:rPr>
            </w:pPr>
            <w:r>
              <w:rPr>
                <w:rStyle w:val="14"/>
                <w:rFonts w:hint="eastAsia"/>
                <w:sz w:val="21"/>
                <w:szCs w:val="21"/>
                <w:lang w:val="en-US" w:eastAsia="zh-CN" w:bidi="ar"/>
              </w:rPr>
              <w:t>整体支出的预算完成率为85.01%，无</w:t>
            </w:r>
            <w:r>
              <w:rPr>
                <w:rStyle w:val="14"/>
                <w:sz w:val="21"/>
                <w:szCs w:val="21"/>
                <w:lang w:val="en-US" w:eastAsia="zh-CN" w:bidi="ar"/>
              </w:rPr>
              <w:t>绩效目标执行监控。</w:t>
            </w:r>
            <w:r>
              <w:rPr>
                <w:rStyle w:val="14"/>
                <w:rFonts w:hint="eastAsia"/>
                <w:sz w:val="21"/>
                <w:szCs w:val="21"/>
                <w:lang w:val="en-US" w:eastAsia="zh-CN" w:bidi="ar"/>
              </w:rPr>
              <w:t>扣4分。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jc w:val="center"/>
        </w:trPr>
        <w:tc>
          <w:tcPr>
            <w:tcW w:w="260" w:type="pct"/>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预算</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调整率</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预算调整率</w:t>
            </w:r>
            <w:r>
              <w:rPr>
                <w:rStyle w:val="14"/>
                <w:lang w:val="en-US" w:eastAsia="zh-CN" w:bidi="ar"/>
              </w:rPr>
              <w:t xml:space="preserve">=（预算调整数/预算数）×100%。          </w:t>
            </w:r>
            <w:r>
              <w:rPr>
                <w:rStyle w:val="14"/>
                <w:rFonts w:hint="eastAsia"/>
                <w:lang w:val="en-US" w:eastAsia="zh-CN" w:bidi="ar"/>
              </w:rPr>
              <w:t xml:space="preserve">          </w:t>
            </w:r>
            <w:r>
              <w:rPr>
                <w:rStyle w:val="14"/>
                <w:lang w:val="en-US" w:eastAsia="zh-CN" w:bidi="ar"/>
              </w:rPr>
              <w:t xml:space="preserve">    </w:t>
            </w:r>
            <w:r>
              <w:rPr>
                <w:rStyle w:val="14"/>
                <w:rFonts w:hint="eastAsia"/>
                <w:lang w:val="en-US" w:eastAsia="zh-CN" w:bidi="ar"/>
              </w:rPr>
              <w:t xml:space="preserve">   </w:t>
            </w:r>
            <w:r>
              <w:rPr>
                <w:rStyle w:val="14"/>
                <w:lang w:val="en-US" w:eastAsia="zh-CN" w:bidi="ar"/>
              </w:rPr>
              <w:t xml:space="preserve">   预算调整数：部门（单位）在本年度内涉及预算的追加、追减或结构调整的资金总和、部门预算调整务必精准有效（因落实国家政策、发生不可抗力，市委、市政府临时交办而产生的调整及经济科目非跨类调整除外）。</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lang w:val="en-US" w:eastAsia="zh-CN" w:bidi="ar"/>
              </w:rPr>
              <w:t>预算调整率&lt;5%，计</w:t>
            </w:r>
            <w:r>
              <w:rPr>
                <w:rStyle w:val="14"/>
                <w:rFonts w:hint="eastAsia"/>
                <w:lang w:val="en-US" w:eastAsia="zh-CN" w:bidi="ar"/>
              </w:rPr>
              <w:t>2</w:t>
            </w:r>
            <w:r>
              <w:rPr>
                <w:rStyle w:val="14"/>
                <w:lang w:val="en-US" w:eastAsia="zh-CN" w:bidi="ar"/>
              </w:rPr>
              <w:t>分；5-10%（含），计1分；大于10%不得分。</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1</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eastAsia"/>
                <w:sz w:val="21"/>
                <w:szCs w:val="21"/>
                <w:lang w:val="en-US" w:eastAsia="zh-CN" w:bidi="ar"/>
              </w:rPr>
            </w:pPr>
            <w:r>
              <w:rPr>
                <w:rStyle w:val="14"/>
                <w:sz w:val="21"/>
                <w:szCs w:val="21"/>
                <w:lang w:val="en-US" w:eastAsia="zh-CN" w:bidi="ar"/>
              </w:rPr>
              <w:t>预算调整率</w:t>
            </w:r>
            <w:r>
              <w:rPr>
                <w:rStyle w:val="14"/>
                <w:rFonts w:hint="eastAsia"/>
                <w:sz w:val="21"/>
                <w:szCs w:val="21"/>
                <w:lang w:val="en-US" w:eastAsia="zh-CN" w:bidi="ar"/>
              </w:rPr>
              <w:t>为5.30%。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jc w:val="center"/>
        </w:trPr>
        <w:tc>
          <w:tcPr>
            <w:tcW w:w="260" w:type="pct"/>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结转结余变动率</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结转结余变动率=〔（本年度累计结转结余资金总额-上年度累计结转结余资金总额）/上年度累计结转结余资金总额〕×100%。</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结转结余变动率≤0 计满分，每超出 5%扣1分，扣完为止。</w:t>
            </w:r>
          </w:p>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2</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sz w:val="21"/>
                <w:szCs w:val="21"/>
                <w:lang w:val="en-US" w:eastAsia="zh-CN" w:bidi="ar"/>
              </w:rPr>
            </w:pPr>
            <w:r>
              <w:rPr>
                <w:rStyle w:val="14"/>
                <w:rFonts w:hint="eastAsia"/>
                <w:sz w:val="21"/>
                <w:szCs w:val="21"/>
                <w:lang w:val="en-US" w:eastAsia="zh-CN" w:bidi="ar"/>
              </w:rPr>
              <w:t>结转结余变动率为 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260" w:type="pct"/>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公用经费</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3"/>
                <w:rFonts w:hint="default" w:eastAsia="宋体"/>
                <w:lang w:val="en-US" w:eastAsia="zh-CN" w:bidi="ar"/>
              </w:rPr>
            </w:pPr>
            <w:r>
              <w:rPr>
                <w:rFonts w:hint="eastAsia" w:ascii="宋体" w:hAnsi="宋体" w:eastAsia="宋体" w:cs="宋体"/>
                <w:i w:val="0"/>
                <w:iCs w:val="0"/>
                <w:color w:val="000000"/>
                <w:kern w:val="0"/>
                <w:sz w:val="18"/>
                <w:szCs w:val="18"/>
                <w:u w:val="none"/>
                <w:lang w:val="en-US" w:eastAsia="zh-CN" w:bidi="ar"/>
              </w:rPr>
              <w:t>控制率</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18"/>
                <w:szCs w:val="18"/>
                <w:u w:val="none"/>
                <w:lang w:val="en-US" w:eastAsia="zh-CN" w:bidi="ar"/>
              </w:rPr>
            </w:pPr>
            <w:r>
              <w:rPr>
                <w:rFonts w:hint="eastAsia" w:ascii="Calibri" w:hAnsi="Calibri" w:eastAsia="宋体" w:cs="Calibri"/>
                <w:i w:val="0"/>
                <w:iCs w:val="0"/>
                <w:color w:val="000000"/>
                <w:kern w:val="0"/>
                <w:sz w:val="18"/>
                <w:szCs w:val="18"/>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公用经费控制率=（实际支出公用经费总额/预算安排公用经费总额）×100%。</w:t>
            </w:r>
          </w:p>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lang w:val="en-US" w:eastAsia="zh-CN" w:bidi="ar"/>
              </w:rPr>
            </w:pPr>
            <w:r>
              <w:rPr>
                <w:rStyle w:val="14"/>
                <w:rFonts w:hint="eastAsia"/>
                <w:lang w:val="en-US" w:eastAsia="zh-CN" w:bidi="ar"/>
              </w:rPr>
              <w:t>公用经费支出是指部门基本支出中的一般商品和服务支出。</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default"/>
                <w:lang w:val="en-US" w:eastAsia="zh-CN" w:bidi="ar"/>
              </w:rPr>
            </w:pPr>
            <w:r>
              <w:rPr>
                <w:rStyle w:val="14"/>
                <w:rFonts w:hint="eastAsia"/>
                <w:lang w:val="en-US" w:eastAsia="zh-CN" w:bidi="ar"/>
              </w:rPr>
              <w:t>100%以下（含）计满分，每超出 1%扣0.1分，扣玩为止。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0</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sz w:val="21"/>
                <w:szCs w:val="21"/>
                <w:lang w:val="en-US" w:eastAsia="zh-CN" w:bidi="ar"/>
              </w:rPr>
            </w:pPr>
            <w:r>
              <w:rPr>
                <w:rStyle w:val="14"/>
                <w:rFonts w:hint="eastAsia"/>
                <w:sz w:val="21"/>
                <w:szCs w:val="21"/>
                <w:lang w:val="en-US" w:eastAsia="zh-CN" w:bidi="ar"/>
              </w:rPr>
              <w:t>公用经费控制率为662.67%，扣2分。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260" w:type="pct"/>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Style w:val="13"/>
                <w:rFonts w:eastAsia="宋体"/>
                <w:lang w:val="en-US" w:eastAsia="zh-CN" w:bidi="ar"/>
              </w:rPr>
              <w:t>“</w:t>
            </w:r>
            <w:r>
              <w:rPr>
                <w:rStyle w:val="14"/>
                <w:lang w:val="en-US" w:eastAsia="zh-CN" w:bidi="ar"/>
              </w:rPr>
              <w:t>三公经费</w:t>
            </w:r>
            <w:r>
              <w:rPr>
                <w:rStyle w:val="13"/>
                <w:rFonts w:eastAsia="宋体"/>
                <w:lang w:val="en-US" w:eastAsia="zh-CN" w:bidi="ar"/>
              </w:rPr>
              <w:t>”</w:t>
            </w:r>
            <w:r>
              <w:rPr>
                <w:rStyle w:val="14"/>
                <w:lang w:val="en-US" w:eastAsia="zh-CN" w:bidi="ar"/>
              </w:rPr>
              <w:t>控制率</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default"/>
                <w:lang w:val="en-US" w:eastAsia="zh-CN" w:bidi="ar"/>
              </w:rPr>
            </w:pPr>
            <w:r>
              <w:rPr>
                <w:rStyle w:val="14"/>
                <w:lang w:val="en-US" w:eastAsia="zh-CN" w:bidi="ar"/>
              </w:rPr>
              <w:t>“三公经费”控制率=（“三公经费”实际支出数/“三公经费”预算安排数）×100%。不超当年预算，不超上年决算。</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default"/>
                <w:lang w:val="en-US" w:eastAsia="zh-CN" w:bidi="ar"/>
              </w:rPr>
            </w:pPr>
            <w:r>
              <w:rPr>
                <w:rStyle w:val="14"/>
                <w:lang w:val="en-US" w:eastAsia="zh-CN" w:bidi="ar"/>
              </w:rPr>
              <w:t>“三公经费”控制率100%以下（含）计2分，每超出1%扣0.15分，扣完为止。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2</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FF0000"/>
                <w:sz w:val="21"/>
                <w:szCs w:val="21"/>
                <w:lang w:val="en-US" w:eastAsia="zh-CN" w:bidi="ar"/>
              </w:rPr>
            </w:pPr>
            <w:r>
              <w:rPr>
                <w:rStyle w:val="14"/>
                <w:rFonts w:hint="eastAsia"/>
                <w:sz w:val="21"/>
                <w:szCs w:val="21"/>
                <w:lang w:val="en-US" w:eastAsia="zh-CN" w:bidi="ar"/>
              </w:rPr>
              <w:t>“三公经费”控制率为32.99%。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260" w:type="pct"/>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000000" w:sz="4" w:space="0"/>
              <w:left w:val="nil"/>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政府采购执行率和规范性</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eastAsia" w:ascii="Calibri" w:hAnsi="Calibri" w:eastAsia="宋体" w:cs="Calibri"/>
                <w:i w:val="0"/>
                <w:iCs w:val="0"/>
                <w:color w:val="000000"/>
                <w:kern w:val="0"/>
                <w:sz w:val="18"/>
                <w:szCs w:val="18"/>
                <w:u w:val="none"/>
                <w:lang w:val="en-US" w:eastAsia="zh-CN" w:bidi="ar"/>
              </w:rPr>
              <w:t>3</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①政府采购执行率</w:t>
            </w:r>
            <w:r>
              <w:rPr>
                <w:rStyle w:val="14"/>
                <w:lang w:val="en-US" w:eastAsia="zh-CN" w:bidi="ar"/>
              </w:rPr>
              <w:t xml:space="preserve">=（实际政府采购金额/政府采购预算数）×100%；                                     政府采购预算：采购机关根据事业发展计划和行政任务编制的、并经过规定程序批准的年度政府采购计划。                                                   ②预算单位严格执行《政府采购法》，无规避政府采购或化整为零进行政府采购的行为。所有项目必须依法采购，履行验收手续；           </w:t>
            </w:r>
            <w:r>
              <w:rPr>
                <w:rStyle w:val="14"/>
                <w:rFonts w:hint="eastAsia"/>
                <w:lang w:val="en-US" w:eastAsia="zh-CN" w:bidi="ar"/>
              </w:rPr>
              <w:t xml:space="preserve">  </w:t>
            </w:r>
            <w:r>
              <w:rPr>
                <w:rStyle w:val="14"/>
                <w:lang w:val="en-US" w:eastAsia="zh-CN" w:bidi="ar"/>
              </w:rPr>
              <w:t xml:space="preserve">          ③预算单位是否建立健全政府采购内部控制制度，执行是否有效。                     </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①政府采购执行率</w:t>
            </w:r>
            <w:r>
              <w:rPr>
                <w:rStyle w:val="14"/>
                <w:lang w:val="en-US" w:eastAsia="zh-CN" w:bidi="ar"/>
              </w:rPr>
              <w:t xml:space="preserve">100%计1分，每超过（降低）1%扣0.1分，扣完为止；                             </w:t>
            </w:r>
            <w:r>
              <w:rPr>
                <w:rStyle w:val="14"/>
                <w:rFonts w:hint="eastAsia"/>
                <w:lang w:val="en-US" w:eastAsia="zh-CN" w:bidi="ar"/>
              </w:rPr>
              <w:t xml:space="preserve">               </w:t>
            </w:r>
            <w:r>
              <w:rPr>
                <w:rStyle w:val="14"/>
                <w:lang w:val="en-US" w:eastAsia="zh-CN" w:bidi="ar"/>
              </w:rPr>
              <w:t xml:space="preserve">         ②所有项目依法采购，无规避政府采购或化整为零进行政府采购的行为，并履行验收手续计1分，否则不得分；                                                 ③预算单位建立了政府采购内控制度且执行有效得1分，否则不得分。</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2</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sz w:val="21"/>
                <w:szCs w:val="21"/>
                <w:lang w:val="en-US" w:eastAsia="zh-CN" w:bidi="ar"/>
              </w:rPr>
            </w:pPr>
            <w:r>
              <w:rPr>
                <w:rStyle w:val="14"/>
                <w:rFonts w:hint="eastAsia"/>
                <w:sz w:val="21"/>
                <w:szCs w:val="21"/>
                <w:lang w:val="en-US" w:eastAsia="zh-CN" w:bidi="ar"/>
              </w:rPr>
              <w:t>政府采购预算7,630万元，5,278.11万元，实际政府采购执行率69.18%，扣1分。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jc w:val="center"/>
        </w:trPr>
        <w:tc>
          <w:tcPr>
            <w:tcW w:w="260" w:type="pct"/>
            <w:vMerge w:val="continue"/>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预算管理（15分）</w:t>
            </w:r>
          </w:p>
        </w:tc>
        <w:tc>
          <w:tcPr>
            <w:tcW w:w="3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管理制度</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健全性</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3</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①部门（单位）内控制度、内部财务管理制度和会计核算制度是否健全；                                      ②相关管理制度是否合法、合规、完整；                       ③相关管理制度是否得到有效执行；                             ④落实政府2022年“过紧日子”政策的具体举措及实施情况。</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①部门（单位）内控制度、内部财务管理制度和会计核算制度健全，计</w:t>
            </w:r>
            <w:r>
              <w:rPr>
                <w:rStyle w:val="14"/>
                <w:lang w:val="en-US" w:eastAsia="zh-CN" w:bidi="ar"/>
              </w:rPr>
              <w:t>1分，否则酌情扣分；                                          ②管理制度合法、合规、完整，计0.5分，否则酌情扣分；                                         ③管理制度得到有效执行，计1分，1例不符合扣0.2分；                                              ④对非刚性项目支出压减5%及以上，计0.5分，否则不得分。</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2</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FF0000"/>
                <w:sz w:val="21"/>
                <w:szCs w:val="21"/>
                <w:lang w:val="en-US" w:eastAsia="zh-CN" w:bidi="ar"/>
              </w:rPr>
            </w:pPr>
            <w:r>
              <w:rPr>
                <w:rStyle w:val="14"/>
                <w:rFonts w:hint="eastAsia"/>
                <w:sz w:val="21"/>
                <w:szCs w:val="21"/>
                <w:lang w:val="en-US" w:eastAsia="zh-CN" w:bidi="ar"/>
              </w:rPr>
              <w:t>财务和业务管理制度健全，预算收支执行不到位，扣1分。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2" w:hRule="atLeast"/>
          <w:jc w:val="center"/>
        </w:trPr>
        <w:tc>
          <w:tcPr>
            <w:tcW w:w="260" w:type="pct"/>
            <w:vMerge w:val="continue"/>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资金使用</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合规性</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6</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①是否符合国家财经法规和财务管理制度以及有关专项资金管理办法的规定；                                    ②资金的支付是否有完整的审批程序和手续；                               ③重大项目开支和大额资金使用是否经单位党组集体研究决策；                                               ④是否符合项目预算批复或合同规定的用途；                                    ⑤是否存在截留、挤占、挪用、虚列支出等情况；                                                  ⑥是否存在重复申报项目、虚报冒领资金。</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①符合国家财经法规和财务管理制度以及有关专项资金管理办法的规定，计</w:t>
            </w:r>
            <w:r>
              <w:rPr>
                <w:rStyle w:val="14"/>
                <w:lang w:val="en-US" w:eastAsia="zh-CN" w:bidi="ar"/>
              </w:rPr>
              <w:t xml:space="preserve">1分，1例不符合扣0.2分；                                       ②资金的支付有完整的审批程序和手续，计1分，1例不符合扣0.2分；      </w:t>
            </w:r>
            <w:r>
              <w:rPr>
                <w:rStyle w:val="14"/>
                <w:rFonts w:hint="eastAsia"/>
                <w:lang w:val="en-US" w:eastAsia="zh-CN" w:bidi="ar"/>
              </w:rPr>
              <w:t xml:space="preserve">                   </w:t>
            </w:r>
            <w:r>
              <w:rPr>
                <w:rStyle w:val="14"/>
                <w:lang w:val="en-US" w:eastAsia="zh-CN" w:bidi="ar"/>
              </w:rPr>
              <w:t xml:space="preserve">                    ③重大项目开支和大额资金使用经过单位党组集体研究决策，计1分，1例不符合扣0.2分；                                     ④符合项目预算批复或合同规定的用途，计1分，1例不符合扣0.2分；        </w:t>
            </w:r>
            <w:r>
              <w:rPr>
                <w:rStyle w:val="14"/>
                <w:rFonts w:hint="eastAsia"/>
                <w:lang w:val="en-US" w:eastAsia="zh-CN" w:bidi="ar"/>
              </w:rPr>
              <w:t xml:space="preserve">                    </w:t>
            </w:r>
            <w:r>
              <w:rPr>
                <w:rStyle w:val="14"/>
                <w:lang w:val="en-US" w:eastAsia="zh-CN" w:bidi="ar"/>
              </w:rPr>
              <w:t xml:space="preserve">               ⑤不存在截留、挤占、挪用、虚列支出等情况，计1分，1例不符合本指标</w:t>
            </w:r>
            <w:r>
              <w:rPr>
                <w:rStyle w:val="14"/>
                <w:rFonts w:hint="eastAsia"/>
                <w:lang w:val="en-US" w:eastAsia="zh-CN" w:bidi="ar"/>
              </w:rPr>
              <w:t>1</w:t>
            </w:r>
            <w:r>
              <w:rPr>
                <w:rStyle w:val="14"/>
                <w:lang w:val="en-US" w:eastAsia="zh-CN" w:bidi="ar"/>
              </w:rPr>
              <w:t>分</w:t>
            </w:r>
            <w:r>
              <w:rPr>
                <w:rStyle w:val="14"/>
                <w:rFonts w:hint="eastAsia"/>
                <w:lang w:val="en-US" w:eastAsia="zh-CN" w:bidi="ar"/>
              </w:rPr>
              <w:t>全</w:t>
            </w:r>
            <w:r>
              <w:rPr>
                <w:rStyle w:val="14"/>
                <w:lang w:val="en-US" w:eastAsia="zh-CN" w:bidi="ar"/>
              </w:rPr>
              <w:t xml:space="preserve">扣； </w:t>
            </w:r>
            <w:r>
              <w:rPr>
                <w:rStyle w:val="14"/>
                <w:rFonts w:hint="eastAsia"/>
                <w:lang w:val="en-US" w:eastAsia="zh-CN" w:bidi="ar"/>
              </w:rPr>
              <w:t xml:space="preserve">                          </w:t>
            </w:r>
            <w:r>
              <w:rPr>
                <w:rStyle w:val="14"/>
                <w:lang w:val="en-US" w:eastAsia="zh-CN" w:bidi="ar"/>
              </w:rPr>
              <w:t xml:space="preserve">                    ⑥不存在重复申报项目、虚报冒领资金，计1分，1例不符合本指标6分全扣。</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2</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eastAsia"/>
                <w:color w:val="FF0000"/>
                <w:sz w:val="21"/>
                <w:szCs w:val="21"/>
                <w:lang w:val="en-US" w:eastAsia="zh-CN" w:bidi="ar"/>
              </w:rPr>
            </w:pPr>
            <w:r>
              <w:rPr>
                <w:rStyle w:val="14"/>
                <w:rFonts w:hint="eastAsia"/>
                <w:color w:val="000000" w:themeColor="text1"/>
                <w:sz w:val="21"/>
                <w:szCs w:val="21"/>
                <w:lang w:val="en-US" w:eastAsia="zh-CN" w:bidi="ar"/>
                <w14:textFill>
                  <w14:solidFill>
                    <w14:schemeClr w14:val="tx1"/>
                  </w14:solidFill>
                </w14:textFill>
              </w:rPr>
              <w:t>财务管理欠规范，且存在资金调剂使用的情况，扣4分。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jc w:val="center"/>
        </w:trPr>
        <w:tc>
          <w:tcPr>
            <w:tcW w:w="260" w:type="pct"/>
            <w:vMerge w:val="continue"/>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预决算信息</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公开性</w:t>
            </w:r>
          </w:p>
        </w:tc>
        <w:tc>
          <w:tcPr>
            <w:tcW w:w="173"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①预算单位按规定及时、准确、完整的公开预决算和绩效管理信息；                                        ②基础数据信息和会计信息资料真实、准确、完整；</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lang w:val="en-US" w:eastAsia="zh-CN" w:bidi="ar"/>
              </w:rPr>
              <w:t>①②各计1分，否则，酌情扣分。</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0.6</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FF0000"/>
                <w:sz w:val="21"/>
                <w:szCs w:val="21"/>
                <w:lang w:val="en-US" w:eastAsia="zh-CN" w:bidi="ar"/>
              </w:rPr>
            </w:pPr>
            <w:r>
              <w:rPr>
                <w:rStyle w:val="14"/>
                <w:rFonts w:hint="eastAsia"/>
                <w:color w:val="000000" w:themeColor="text1"/>
                <w:sz w:val="21"/>
                <w:szCs w:val="21"/>
                <w:lang w:val="en-US" w:eastAsia="zh-CN" w:bidi="ar"/>
                <w14:textFill>
                  <w14:solidFill>
                    <w14:schemeClr w14:val="tx1"/>
                  </w14:solidFill>
                </w14:textFill>
              </w:rPr>
              <w:t>公开预决算和绩效管理信息不完整；  预决算信息公开,决算数据不准，扣1.4分。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8" w:hRule="atLeast"/>
          <w:jc w:val="center"/>
        </w:trPr>
        <w:tc>
          <w:tcPr>
            <w:tcW w:w="260" w:type="pct"/>
            <w:vMerge w:val="continue"/>
            <w:tcBorders>
              <w:top w:val="single" w:color="000000"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auto" w:sz="4" w:space="0"/>
              <w:left w:val="single" w:color="auto" w:sz="4" w:space="0"/>
              <w:bottom w:val="single" w:color="auto" w:sz="4" w:space="0"/>
              <w:right w:val="nil"/>
            </w:tcBorders>
            <w:shd w:val="clear" w:color="auto" w:fill="auto"/>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auto" w:sz="4" w:space="0"/>
              <w:left w:val="single" w:color="000000"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绩效自评管理情况</w:t>
            </w:r>
          </w:p>
        </w:tc>
        <w:tc>
          <w:tcPr>
            <w:tcW w:w="173" w:type="pct"/>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4</w:t>
            </w:r>
          </w:p>
        </w:tc>
        <w:tc>
          <w:tcPr>
            <w:tcW w:w="1285"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①是否按要求开展绩效自评工作，绩效自评报告报送及时；                                            ②绩效自评报告是否完整，数据是否全面、真实、准确，绩效指标是否细化量化和科学合理，绩效自评反映的问题是否具体，意见是否可行，自评发现的问题是否整改；</w:t>
            </w:r>
          </w:p>
        </w:tc>
        <w:tc>
          <w:tcPr>
            <w:tcW w:w="169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 xml:space="preserve">①按要求开展绩效自评工作，绩效自评报告报送及时，计1分，否则，不得分；                                            ②绩效自评报告是否完整，数据是否全面、真实、准确，绩效指标是否细化量化和科学合理，计1分，1例不符合扣0.2分；                                                                ③绩效自评反映的问题是否具体，意见是否可行，自评发现的问题是否整改计2分，1例不符合扣0.4分。        </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1</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000000" w:themeColor="text1"/>
                <w:sz w:val="21"/>
                <w:szCs w:val="21"/>
                <w:lang w:val="en-US" w:eastAsia="zh-CN" w:bidi="ar"/>
                <w14:textFill>
                  <w14:solidFill>
                    <w14:schemeClr w14:val="tx1"/>
                  </w14:solidFill>
                </w14:textFill>
              </w:rPr>
            </w:pPr>
            <w:r>
              <w:rPr>
                <w:rStyle w:val="14"/>
                <w:rFonts w:hint="eastAsia"/>
                <w:color w:val="000000" w:themeColor="text1"/>
                <w:sz w:val="21"/>
                <w:szCs w:val="21"/>
                <w:lang w:val="en-US" w:eastAsia="zh-CN" w:bidi="ar"/>
                <w14:textFill>
                  <w14:solidFill>
                    <w14:schemeClr w14:val="tx1"/>
                  </w14:solidFill>
                </w14:textFill>
              </w:rPr>
              <w:t>自评信息不准，绩效指标可测量性较差，绩效自评反映的问题不具体，扣3分。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76" w:hRule="atLeast"/>
          <w:jc w:val="center"/>
        </w:trPr>
        <w:tc>
          <w:tcPr>
            <w:tcW w:w="260" w:type="pct"/>
            <w:vMerge w:val="continue"/>
            <w:tcBorders>
              <w:top w:val="single" w:color="auto"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restart"/>
            <w:tcBorders>
              <w:top w:val="single" w:color="auto" w:sz="4" w:space="0"/>
              <w:left w:val="nil"/>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资产管理        （5分）</w:t>
            </w:r>
          </w:p>
        </w:tc>
        <w:tc>
          <w:tcPr>
            <w:tcW w:w="391"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资产管理</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制度健全性</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①是否已制定合法、合规、完整的资产管理制度；</w:t>
            </w:r>
            <w:r>
              <w:rPr>
                <w:rStyle w:val="14"/>
                <w:lang w:val="en-US" w:eastAsia="zh-CN" w:bidi="ar"/>
              </w:rPr>
              <w:t xml:space="preserve"> </w:t>
            </w:r>
            <w:r>
              <w:rPr>
                <w:rStyle w:val="14"/>
                <w:rFonts w:hint="eastAsia"/>
                <w:lang w:val="en-US" w:eastAsia="zh-CN" w:bidi="ar"/>
              </w:rPr>
              <w:t xml:space="preserve">                                               </w:t>
            </w:r>
            <w:r>
              <w:rPr>
                <w:rStyle w:val="14"/>
                <w:lang w:val="en-US" w:eastAsia="zh-CN" w:bidi="ar"/>
              </w:rPr>
              <w:t xml:space="preserve"> ②相关资产管理制度是否得到有效执行；                 </w:t>
            </w:r>
            <w:r>
              <w:rPr>
                <w:rStyle w:val="14"/>
                <w:rFonts w:hint="eastAsia"/>
                <w:lang w:val="en-US" w:eastAsia="zh-CN" w:bidi="ar"/>
              </w:rPr>
              <w:t xml:space="preserve">     </w:t>
            </w:r>
            <w:r>
              <w:rPr>
                <w:rStyle w:val="14"/>
                <w:lang w:val="en-US" w:eastAsia="zh-CN" w:bidi="ar"/>
              </w:rPr>
              <w:t xml:space="preserve">       ③资产配置是否编制年度预算；                             ④资产配置预算实际执行情况。         </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①已制定合法、合规、完整的资产管理制度，计</w:t>
            </w:r>
            <w:r>
              <w:rPr>
                <w:rStyle w:val="14"/>
                <w:lang w:val="en-US" w:eastAsia="zh-CN" w:bidi="ar"/>
              </w:rPr>
              <w:t xml:space="preserve">0.5分，否则不得分；                          </w:t>
            </w:r>
            <w:r>
              <w:rPr>
                <w:rStyle w:val="14"/>
                <w:rFonts w:hint="eastAsia"/>
                <w:lang w:val="en-US" w:eastAsia="zh-CN" w:bidi="ar"/>
              </w:rPr>
              <w:t xml:space="preserve">                          </w:t>
            </w:r>
            <w:r>
              <w:rPr>
                <w:rStyle w:val="14"/>
                <w:lang w:val="en-US" w:eastAsia="zh-CN" w:bidi="ar"/>
              </w:rPr>
              <w:t xml:space="preserve">     ②相关资产管理制度得到有效执行，计0.5分，否则，不得分；                             </w:t>
            </w:r>
            <w:r>
              <w:rPr>
                <w:rStyle w:val="14"/>
                <w:rFonts w:hint="eastAsia"/>
                <w:lang w:val="en-US" w:eastAsia="zh-CN" w:bidi="ar"/>
              </w:rPr>
              <w:t xml:space="preserve">                        </w:t>
            </w:r>
            <w:r>
              <w:rPr>
                <w:rStyle w:val="14"/>
                <w:lang w:val="en-US" w:eastAsia="zh-CN" w:bidi="ar"/>
              </w:rPr>
              <w:t xml:space="preserve">           ③资产管理编制年度预算，计0.5分，未编制不得分。                                                     ④资产配置预算实际执行情况未超年度预算（按程序审批除外），计0.5分，否则，不得分。                </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1.5</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FF0000"/>
                <w:sz w:val="21"/>
                <w:szCs w:val="21"/>
                <w:lang w:val="en-US" w:eastAsia="zh-CN" w:bidi="ar"/>
              </w:rPr>
            </w:pPr>
            <w:r>
              <w:rPr>
                <w:rStyle w:val="14"/>
                <w:rFonts w:hint="eastAsia"/>
                <w:color w:val="000000" w:themeColor="text1"/>
                <w:sz w:val="21"/>
                <w:szCs w:val="21"/>
                <w:lang w:val="en-US" w:eastAsia="zh-CN" w:bidi="ar"/>
                <w14:textFill>
                  <w14:solidFill>
                    <w14:schemeClr w14:val="tx1"/>
                  </w14:solidFill>
                </w14:textFill>
              </w:rPr>
              <w:t>资产管理制度完善，</w:t>
            </w:r>
            <w:r>
              <w:rPr>
                <w:rStyle w:val="14"/>
                <w:color w:val="000000" w:themeColor="text1"/>
                <w:sz w:val="21"/>
                <w:szCs w:val="21"/>
                <w:lang w:val="en-US" w:eastAsia="zh-CN" w:bidi="ar"/>
                <w14:textFill>
                  <w14:solidFill>
                    <w14:schemeClr w14:val="tx1"/>
                  </w14:solidFill>
                </w14:textFill>
              </w:rPr>
              <w:t>执行</w:t>
            </w:r>
            <w:r>
              <w:rPr>
                <w:rStyle w:val="14"/>
                <w:rFonts w:hint="eastAsia"/>
                <w:color w:val="000000" w:themeColor="text1"/>
                <w:sz w:val="21"/>
                <w:szCs w:val="21"/>
                <w:lang w:val="en-US" w:eastAsia="zh-CN" w:bidi="ar"/>
                <w14:textFill>
                  <w14:solidFill>
                    <w14:schemeClr w14:val="tx1"/>
                  </w14:solidFill>
                </w14:textFill>
              </w:rPr>
              <w:t>不到位</w:t>
            </w:r>
            <w:r>
              <w:rPr>
                <w:rStyle w:val="14"/>
                <w:color w:val="000000" w:themeColor="text1"/>
                <w:sz w:val="21"/>
                <w:szCs w:val="21"/>
                <w:lang w:val="en-US" w:eastAsia="zh-CN" w:bidi="ar"/>
                <w14:textFill>
                  <w14:solidFill>
                    <w14:schemeClr w14:val="tx1"/>
                  </w14:solidFill>
                </w14:textFill>
              </w:rPr>
              <w:t>。</w:t>
            </w:r>
            <w:r>
              <w:rPr>
                <w:rStyle w:val="14"/>
                <w:rFonts w:hint="eastAsia"/>
                <w:color w:val="000000" w:themeColor="text1"/>
                <w:sz w:val="21"/>
                <w:szCs w:val="21"/>
                <w:lang w:val="en-US" w:eastAsia="zh-CN" w:bidi="ar"/>
                <w14:textFill>
                  <w14:solidFill>
                    <w14:schemeClr w14:val="tx1"/>
                  </w14:solidFill>
                </w14:textFill>
              </w:rPr>
              <w:t>扣0.5分。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6" w:hRule="atLeast"/>
          <w:jc w:val="center"/>
        </w:trPr>
        <w:tc>
          <w:tcPr>
            <w:tcW w:w="260" w:type="pct"/>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资产管理 </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安全性</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2</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①资产保存是否完整并有台账；                                   ②资产配置是否合理，是否有闲置现象；                      ③资产处置是否规范；                                      ④资产账务管理是否合规，是否帐实相符；                                 ⑤资产是否有偿使用或处置收入及时足额上缴；                                                   ⑥相关资产购置是否履行政府采购手续，外租资产是否走合规程序；                                           ⑦资产是否定期进行盘点并有记录。</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①资产配置合理符合标准、保管完整，账务管理规范，定期盘点并有台账，账实相符的，计</w:t>
            </w:r>
            <w:r>
              <w:rPr>
                <w:rStyle w:val="14"/>
                <w:lang w:val="en-US" w:eastAsia="zh-CN" w:bidi="ar"/>
              </w:rPr>
              <w:t xml:space="preserve">0.5分，发现一例不符，扣0.1分，扣完为止；                     </w:t>
            </w:r>
            <w:r>
              <w:rPr>
                <w:rStyle w:val="14"/>
                <w:rFonts w:hint="eastAsia"/>
                <w:lang w:val="en-US" w:eastAsia="zh-CN" w:bidi="ar"/>
              </w:rPr>
              <w:t xml:space="preserve">                  </w:t>
            </w:r>
            <w:r>
              <w:rPr>
                <w:rStyle w:val="14"/>
                <w:lang w:val="en-US" w:eastAsia="zh-CN" w:bidi="ar"/>
              </w:rPr>
              <w:t xml:space="preserve">         ②资产处置规范，计0.3分，发现一例不符，扣0.1分，扣完为止；资产无闲置现象，计0.2分，发现一例，扣0.1分，扣完为止；                    </w:t>
            </w:r>
            <w:r>
              <w:rPr>
                <w:rStyle w:val="14"/>
                <w:rFonts w:hint="eastAsia"/>
                <w:lang w:val="en-US" w:eastAsia="zh-CN" w:bidi="ar"/>
              </w:rPr>
              <w:t xml:space="preserve">                       </w:t>
            </w:r>
            <w:r>
              <w:rPr>
                <w:rStyle w:val="14"/>
                <w:lang w:val="en-US" w:eastAsia="zh-CN" w:bidi="ar"/>
              </w:rPr>
              <w:t xml:space="preserve">            ③资产有偿使用或处置收入及时足额上缴，计0.5分，发现未上缴，本项不得分；          </w:t>
            </w:r>
            <w:r>
              <w:rPr>
                <w:rStyle w:val="14"/>
                <w:rFonts w:hint="eastAsia"/>
                <w:lang w:val="en-US" w:eastAsia="zh-CN" w:bidi="ar"/>
              </w:rPr>
              <w:t xml:space="preserve">                    </w:t>
            </w:r>
            <w:r>
              <w:rPr>
                <w:rStyle w:val="14"/>
                <w:lang w:val="en-US" w:eastAsia="zh-CN" w:bidi="ar"/>
              </w:rPr>
              <w:t xml:space="preserve">                  ④资产购置履行政府采购手续，计0.3分，发现一例不符，扣0.1分，扣完为止；外租资产全部走合规程序，计0.2分，发现一例不合规，扣0.1分，扣完为止。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1.8</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FF0000"/>
                <w:sz w:val="21"/>
                <w:szCs w:val="21"/>
                <w:lang w:val="en-US" w:eastAsia="zh-CN" w:bidi="ar"/>
              </w:rPr>
            </w:pPr>
            <w:r>
              <w:rPr>
                <w:rStyle w:val="14"/>
                <w:rFonts w:hint="eastAsia"/>
                <w:color w:val="000000" w:themeColor="text1"/>
                <w:sz w:val="21"/>
                <w:szCs w:val="21"/>
                <w:lang w:val="en-US" w:eastAsia="zh-CN" w:bidi="ar"/>
                <w14:textFill>
                  <w14:solidFill>
                    <w14:schemeClr w14:val="tx1"/>
                  </w14:solidFill>
                </w14:textFill>
              </w:rPr>
              <w:t>未出资产清查报告，存在账实不符情形，扣0.2分。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jc w:val="center"/>
        </w:trPr>
        <w:tc>
          <w:tcPr>
            <w:tcW w:w="260" w:type="pct"/>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top w:val="single" w:color="000000" w:sz="4" w:space="0"/>
              <w:left w:val="nil"/>
              <w:bottom w:val="single" w:color="auto"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391"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资产保管和使用情况</w:t>
            </w:r>
          </w:p>
        </w:tc>
        <w:tc>
          <w:tcPr>
            <w:tcW w:w="173"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18"/>
                <w:szCs w:val="18"/>
                <w:u w:val="none"/>
              </w:rPr>
            </w:pPr>
            <w:r>
              <w:rPr>
                <w:rFonts w:hint="default" w:ascii="Calibri" w:hAnsi="Calibri" w:eastAsia="宋体" w:cs="Calibri"/>
                <w:i w:val="0"/>
                <w:iCs w:val="0"/>
                <w:color w:val="000000"/>
                <w:kern w:val="0"/>
                <w:sz w:val="18"/>
                <w:szCs w:val="18"/>
                <w:u w:val="none"/>
                <w:lang w:val="en-US" w:eastAsia="zh-CN" w:bidi="ar"/>
              </w:rPr>
              <w:t>1</w:t>
            </w:r>
          </w:p>
        </w:tc>
        <w:tc>
          <w:tcPr>
            <w:tcW w:w="1285"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①是否建立固定资产台账，实行编码管理；                    ②固定资产增减变化是否建立审批程序；                          ③固定资产是否有闲置浪费现象</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建了固定资产台账实行编码管理的计0.25分；                            建立了固定资产增减变化审批程序的计0.25分，否则不得分；                                                                            固定资产无闲置浪费现象计0.5分，发现一处扣0.1分，扣完为止。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1</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eastAsia"/>
                <w:color w:val="000000" w:themeColor="text1"/>
                <w:sz w:val="21"/>
                <w:szCs w:val="21"/>
                <w:lang w:val="en-US" w:eastAsia="zh-CN" w:bidi="ar"/>
                <w14:textFill>
                  <w14:solidFill>
                    <w14:schemeClr w14:val="tx1"/>
                  </w14:solidFill>
                </w14:textFill>
              </w:rPr>
            </w:pPr>
            <w:r>
              <w:rPr>
                <w:rStyle w:val="14"/>
                <w:rFonts w:hint="eastAsia"/>
                <w:color w:val="000000" w:themeColor="text1"/>
                <w:sz w:val="21"/>
                <w:szCs w:val="21"/>
                <w:lang w:val="en-US" w:eastAsia="zh-CN" w:bidi="ar"/>
                <w14:textFill>
                  <w14:solidFill>
                    <w14:schemeClr w14:val="tx1"/>
                  </w14:solidFill>
                </w14:textFill>
              </w:rPr>
              <w:t>资产保管和使用</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FF0000"/>
                <w:sz w:val="21"/>
                <w:szCs w:val="21"/>
                <w:lang w:val="en-US" w:eastAsia="zh-CN" w:bidi="ar"/>
              </w:rPr>
            </w:pPr>
            <w:r>
              <w:rPr>
                <w:rStyle w:val="14"/>
                <w:rFonts w:hint="eastAsia"/>
                <w:color w:val="000000" w:themeColor="text1"/>
                <w:sz w:val="21"/>
                <w:szCs w:val="21"/>
                <w:lang w:val="en-US" w:eastAsia="zh-CN" w:bidi="ar"/>
                <w14:textFill>
                  <w14:solidFill>
                    <w14:schemeClr w14:val="tx1"/>
                  </w14:solidFill>
                </w14:textFill>
              </w:rPr>
              <w:t>情况良好。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6" w:hRule="atLeast"/>
          <w:jc w:val="center"/>
        </w:trPr>
        <w:tc>
          <w:tcPr>
            <w:tcW w:w="260" w:type="pct"/>
            <w:vMerge w:val="restar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   （26分）</w:t>
            </w:r>
          </w:p>
        </w:tc>
        <w:tc>
          <w:tcPr>
            <w:tcW w:w="256"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             完成率</w:t>
            </w:r>
          </w:p>
        </w:tc>
        <w:tc>
          <w:tcPr>
            <w:tcW w:w="39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招生人数完成情况</w:t>
            </w:r>
          </w:p>
        </w:tc>
        <w:tc>
          <w:tcPr>
            <w:tcW w:w="1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20"/>
                <w:szCs w:val="20"/>
                <w:u w:val="none"/>
              </w:rPr>
            </w:pPr>
            <w:r>
              <w:rPr>
                <w:rFonts w:hint="eastAsia" w:ascii="Calibri" w:hAnsi="Calibri" w:eastAsia="宋体" w:cs="Calibri"/>
                <w:i w:val="0"/>
                <w:iCs w:val="0"/>
                <w:color w:val="000000"/>
                <w:kern w:val="0"/>
                <w:sz w:val="20"/>
                <w:szCs w:val="20"/>
                <w:u w:val="none"/>
                <w:lang w:val="en-US" w:eastAsia="zh-CN" w:bidi="ar"/>
              </w:rPr>
              <w:t>2</w:t>
            </w:r>
          </w:p>
        </w:tc>
        <w:tc>
          <w:tcPr>
            <w:tcW w:w="1285"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部门履行职责而实际完成工作数与计划工作数的比率，用以反映和考核部门履职工作任务目标的实现程度。部门工作受到上级通报表扬或批评情况。</w:t>
            </w:r>
          </w:p>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p>
        </w:tc>
        <w:tc>
          <w:tcPr>
            <w:tcW w:w="1696"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 xml:space="preserve">实际完成率=（实际完成工作数/计划工作数）*100%＞95%。实际完成工作数：一定时期（年度或规划期）内部门实际完成工作任务的数量。计划工作数：部门整体绩效目标确定的一定时期（年度或规划期）内预计完成工作任务的数量。每降低1%扣0.3分，扣完为止。   </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auto"/>
                <w:kern w:val="0"/>
                <w:sz w:val="20"/>
                <w:szCs w:val="20"/>
                <w:u w:val="none"/>
                <w:lang w:val="en-US" w:eastAsia="zh-CN" w:bidi="ar"/>
              </w:rPr>
            </w:pPr>
            <w:r>
              <w:rPr>
                <w:rFonts w:hint="eastAsia" w:ascii="Calibri" w:hAnsi="Calibri" w:eastAsia="宋体" w:cs="Calibri"/>
                <w:i w:val="0"/>
                <w:iCs w:val="0"/>
                <w:color w:val="auto"/>
                <w:kern w:val="0"/>
                <w:sz w:val="20"/>
                <w:szCs w:val="20"/>
                <w:u w:val="none"/>
                <w:lang w:val="en-US" w:eastAsia="zh-CN" w:bidi="ar"/>
              </w:rPr>
              <w:t>2</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auto"/>
                <w:sz w:val="21"/>
                <w:szCs w:val="21"/>
                <w:lang w:val="en-US" w:eastAsia="zh-CN" w:bidi="ar"/>
              </w:rPr>
            </w:pPr>
            <w:r>
              <w:rPr>
                <w:rStyle w:val="14"/>
                <w:rFonts w:hint="eastAsia"/>
                <w:color w:val="auto"/>
                <w:sz w:val="21"/>
                <w:szCs w:val="21"/>
                <w:lang w:val="en-US" w:eastAsia="zh-CN" w:bidi="ar"/>
              </w:rPr>
              <w:t>招生计划大于3000人，实际完成3023人，实际完成率大于100%。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6" w:hRule="atLeast"/>
          <w:jc w:val="center"/>
        </w:trPr>
        <w:tc>
          <w:tcPr>
            <w:tcW w:w="260" w:type="pct"/>
            <w:vMerge w:val="continue"/>
            <w:tcBorders>
              <w:left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56" w:type="pct"/>
            <w:vMerge w:val="continue"/>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391"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培训人次完成情况</w:t>
            </w:r>
          </w:p>
        </w:tc>
        <w:tc>
          <w:tcPr>
            <w:tcW w:w="173"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2</w:t>
            </w:r>
          </w:p>
        </w:tc>
        <w:tc>
          <w:tcPr>
            <w:tcW w:w="1285" w:type="pct"/>
            <w:vMerge w:val="continue"/>
            <w:tcBorders>
              <w:top w:val="single" w:color="auto" w:sz="4" w:space="0"/>
              <w:left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p>
        </w:tc>
        <w:tc>
          <w:tcPr>
            <w:tcW w:w="1696"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100%以上(含)计2分；</w:t>
            </w:r>
          </w:p>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85%(含) -99%，计1.5分;</w:t>
            </w:r>
          </w:p>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75%(含)-85%，计1分;</w:t>
            </w:r>
          </w:p>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70% (含)-85%，计0.5分；</w:t>
            </w:r>
          </w:p>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default"/>
                <w:lang w:val="en-US" w:eastAsia="zh-CN" w:bidi="ar"/>
              </w:rPr>
            </w:pPr>
            <w:r>
              <w:rPr>
                <w:rStyle w:val="14"/>
                <w:rFonts w:hint="eastAsia"/>
                <w:lang w:val="en-US" w:eastAsia="zh-CN" w:bidi="ar"/>
              </w:rPr>
              <w:t>低于 70%计0分。</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auto"/>
                <w:kern w:val="0"/>
                <w:sz w:val="20"/>
                <w:szCs w:val="20"/>
                <w:u w:val="none"/>
                <w:lang w:val="en-US" w:eastAsia="zh-CN" w:bidi="ar"/>
              </w:rPr>
            </w:pPr>
            <w:r>
              <w:rPr>
                <w:rFonts w:hint="eastAsia" w:ascii="Calibri" w:hAnsi="Calibri" w:eastAsia="宋体" w:cs="Calibri"/>
                <w:i w:val="0"/>
                <w:iCs w:val="0"/>
                <w:color w:val="auto"/>
                <w:kern w:val="0"/>
                <w:sz w:val="20"/>
                <w:szCs w:val="20"/>
                <w:u w:val="none"/>
                <w:lang w:val="en-US" w:eastAsia="zh-CN" w:bidi="ar"/>
              </w:rPr>
              <w:t>2</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eastAsia"/>
                <w:color w:val="auto"/>
                <w:sz w:val="21"/>
                <w:szCs w:val="21"/>
                <w:lang w:val="en-US" w:eastAsia="zh-CN" w:bidi="ar"/>
              </w:rPr>
            </w:pPr>
            <w:r>
              <w:rPr>
                <w:rStyle w:val="14"/>
                <w:rFonts w:hint="eastAsia"/>
                <w:color w:val="auto"/>
                <w:sz w:val="21"/>
                <w:szCs w:val="21"/>
                <w:lang w:val="en-US" w:eastAsia="zh-CN" w:bidi="ar"/>
              </w:rPr>
              <w:t>市人社局共同举办专业技术人员继续教育培训、劳动关系协调员培训等共5232人次；技能等级培训认定17022人次。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6" w:hRule="atLeast"/>
          <w:jc w:val="center"/>
        </w:trPr>
        <w:tc>
          <w:tcPr>
            <w:tcW w:w="260" w:type="pct"/>
            <w:vMerge w:val="continue"/>
            <w:tcBorders>
              <w:left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56"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新开专业数量完成情况</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2</w:t>
            </w:r>
          </w:p>
        </w:tc>
        <w:tc>
          <w:tcPr>
            <w:tcW w:w="1285" w:type="pct"/>
            <w:vMerge w:val="continue"/>
            <w:tcBorders>
              <w:left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p>
        </w:tc>
        <w:tc>
          <w:tcPr>
            <w:tcW w:w="1696"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default"/>
                <w:lang w:val="en-US" w:eastAsia="zh-CN" w:bidi="ar"/>
              </w:rPr>
            </w:pPr>
            <w:r>
              <w:rPr>
                <w:rStyle w:val="14"/>
                <w:rFonts w:hint="eastAsia"/>
                <w:lang w:val="en-US" w:eastAsia="zh-CN" w:bidi="ar"/>
              </w:rPr>
              <w:t>5个及以上计2分；每少一个扣0.5分，扣完为止。</w:t>
            </w:r>
          </w:p>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auto"/>
                <w:kern w:val="0"/>
                <w:sz w:val="20"/>
                <w:szCs w:val="20"/>
                <w:u w:val="none"/>
                <w:lang w:val="en-US" w:eastAsia="zh-CN" w:bidi="ar"/>
              </w:rPr>
            </w:pPr>
            <w:r>
              <w:rPr>
                <w:rFonts w:hint="eastAsia" w:ascii="Calibri" w:hAnsi="Calibri" w:eastAsia="宋体" w:cs="Calibri"/>
                <w:i w:val="0"/>
                <w:iCs w:val="0"/>
                <w:color w:val="auto"/>
                <w:kern w:val="0"/>
                <w:sz w:val="20"/>
                <w:szCs w:val="20"/>
                <w:u w:val="none"/>
                <w:lang w:val="en-US" w:eastAsia="zh-CN" w:bidi="ar"/>
              </w:rPr>
              <w:t>2</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eastAsia"/>
                <w:color w:val="auto"/>
                <w:sz w:val="21"/>
                <w:szCs w:val="21"/>
                <w:lang w:val="en-US" w:eastAsia="zh-CN" w:bidi="ar"/>
              </w:rPr>
            </w:pPr>
            <w:r>
              <w:rPr>
                <w:rStyle w:val="14"/>
                <w:rFonts w:hint="eastAsia"/>
                <w:color w:val="auto"/>
                <w:sz w:val="21"/>
                <w:szCs w:val="21"/>
                <w:lang w:val="en-US" w:eastAsia="zh-CN" w:bidi="ar"/>
              </w:rPr>
              <w:t>新开直播电商服务、幼儿保育、智能网联汽车技术应用等5个新兴专业。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60" w:type="pct"/>
            <w:vMerge w:val="continue"/>
            <w:tcBorders>
              <w:left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56" w:type="pct"/>
            <w:vMerge w:val="continue"/>
            <w:tcBorders>
              <w:left w:val="single" w:color="auto" w:sz="4" w:space="0"/>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重点项目完成情况</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4</w:t>
            </w:r>
          </w:p>
        </w:tc>
        <w:tc>
          <w:tcPr>
            <w:tcW w:w="1285" w:type="pct"/>
            <w:vMerge w:val="continue"/>
            <w:tcBorders>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p>
        </w:tc>
        <w:tc>
          <w:tcPr>
            <w:tcW w:w="1696"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both"/>
              <w:textAlignment w:val="center"/>
              <w:rPr>
                <w:rStyle w:val="14"/>
                <w:rFonts w:hint="eastAsia"/>
                <w:lang w:val="en-US" w:eastAsia="zh-CN" w:bidi="ar"/>
              </w:rPr>
            </w:pPr>
            <w:r>
              <w:rPr>
                <w:rStyle w:val="14"/>
                <w:rFonts w:hint="eastAsia"/>
                <w:lang w:val="en-US" w:eastAsia="zh-CN" w:bidi="ar"/>
              </w:rPr>
              <w:t>10个及以上计4分；每少一个扣0.5分，扣完为止。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auto"/>
                <w:kern w:val="0"/>
                <w:sz w:val="20"/>
                <w:szCs w:val="20"/>
                <w:u w:val="none"/>
                <w:lang w:val="en-US" w:eastAsia="zh-CN" w:bidi="ar"/>
              </w:rPr>
            </w:pPr>
            <w:r>
              <w:rPr>
                <w:rFonts w:hint="eastAsia" w:ascii="Calibri" w:hAnsi="Calibri" w:eastAsia="宋体" w:cs="Calibri"/>
                <w:i w:val="0"/>
                <w:iCs w:val="0"/>
                <w:color w:val="auto"/>
                <w:kern w:val="0"/>
                <w:sz w:val="20"/>
                <w:szCs w:val="20"/>
                <w:u w:val="none"/>
                <w:lang w:val="en-US" w:eastAsia="zh-CN" w:bidi="ar"/>
              </w:rPr>
              <w:t>4</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tabs>
                <w:tab w:val="left" w:pos="468"/>
              </w:tabs>
              <w:wordWrap/>
              <w:overflowPunct/>
              <w:topLinePunct w:val="0"/>
              <w:bidi w:val="0"/>
              <w:adjustRightInd w:val="0"/>
              <w:snapToGrid w:val="0"/>
              <w:ind w:left="-63" w:leftChars="-30" w:right="-63" w:rightChars="-30"/>
              <w:jc w:val="left"/>
              <w:textAlignment w:val="center"/>
              <w:rPr>
                <w:rStyle w:val="14"/>
                <w:rFonts w:hint="eastAsia"/>
                <w:color w:val="auto"/>
                <w:sz w:val="21"/>
                <w:szCs w:val="21"/>
                <w:lang w:val="en-US" w:eastAsia="zh-CN" w:bidi="ar"/>
              </w:rPr>
            </w:pPr>
            <w:r>
              <w:rPr>
                <w:rStyle w:val="14"/>
                <w:rFonts w:hint="eastAsia"/>
                <w:color w:val="auto"/>
                <w:sz w:val="21"/>
                <w:szCs w:val="21"/>
                <w:lang w:val="en-US" w:eastAsia="zh-CN" w:bidi="ar"/>
              </w:rPr>
              <w:t>学院成功申报4个市级项目；7个省级项目；3个国家级项目。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jc w:val="center"/>
        </w:trPr>
        <w:tc>
          <w:tcPr>
            <w:tcW w:w="26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完成                及时性</w:t>
            </w:r>
          </w:p>
        </w:tc>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重点工作完成及时率</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20"/>
                <w:szCs w:val="20"/>
                <w:u w:val="none"/>
              </w:rPr>
            </w:pPr>
            <w:r>
              <w:rPr>
                <w:rFonts w:hint="eastAsia" w:ascii="Calibri" w:hAnsi="Calibri" w:eastAsia="宋体" w:cs="Calibri"/>
                <w:i w:val="0"/>
                <w:iCs w:val="0"/>
                <w:color w:val="000000"/>
                <w:kern w:val="0"/>
                <w:sz w:val="20"/>
                <w:szCs w:val="20"/>
                <w:u w:val="none"/>
                <w:lang w:val="en-US" w:eastAsia="zh-CN" w:bidi="ar"/>
              </w:rPr>
              <w:t>4</w:t>
            </w:r>
          </w:p>
        </w:tc>
        <w:tc>
          <w:tcPr>
            <w:tcW w:w="1285"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部门在规定时限内及时完成的实际工作数与计划工作数的比率，用以反映和考核部门履职实效目标的实现程度。</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 xml:space="preserve">完成及时率=（及时完成实际工作数/计划工作数）*100%。及时完成工作数：部门按照整体绩效目标确定的时限实际完成的工作任务数量。每降低1%扣0.1分，扣完为止。    </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auto"/>
                <w:kern w:val="0"/>
                <w:sz w:val="20"/>
                <w:szCs w:val="20"/>
                <w:u w:val="none"/>
                <w:lang w:val="en-US" w:eastAsia="zh-CN" w:bidi="ar"/>
              </w:rPr>
            </w:pPr>
            <w:r>
              <w:rPr>
                <w:rFonts w:hint="eastAsia" w:ascii="Calibri" w:hAnsi="Calibri" w:eastAsia="宋体" w:cs="Calibri"/>
                <w:i w:val="0"/>
                <w:iCs w:val="0"/>
                <w:color w:val="auto"/>
                <w:kern w:val="0"/>
                <w:sz w:val="20"/>
                <w:szCs w:val="20"/>
                <w:u w:val="none"/>
                <w:lang w:val="en-US" w:eastAsia="zh-CN" w:bidi="ar"/>
              </w:rPr>
              <w:t>4</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auto"/>
                <w:sz w:val="21"/>
                <w:szCs w:val="21"/>
                <w:lang w:val="en-US" w:eastAsia="zh-CN" w:bidi="ar"/>
              </w:rPr>
            </w:pPr>
            <w:r>
              <w:rPr>
                <w:rFonts w:hint="eastAsia" w:ascii="宋体" w:hAnsi="宋体" w:eastAsia="宋体" w:cs="宋体"/>
                <w:i w:val="0"/>
                <w:iCs w:val="0"/>
                <w:color w:val="auto"/>
                <w:kern w:val="0"/>
                <w:sz w:val="20"/>
                <w:szCs w:val="20"/>
                <w:u w:val="none"/>
                <w:lang w:val="en-US" w:eastAsia="zh-CN" w:bidi="ar"/>
              </w:rPr>
              <w:t>招生、培训、新开专业及时。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jc w:val="center"/>
        </w:trPr>
        <w:tc>
          <w:tcPr>
            <w:tcW w:w="26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重点项目完成及时率</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4</w:t>
            </w:r>
          </w:p>
        </w:tc>
        <w:tc>
          <w:tcPr>
            <w:tcW w:w="1285" w:type="pct"/>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default"/>
                <w:lang w:val="en-US" w:eastAsia="zh-CN" w:bidi="ar"/>
              </w:rPr>
            </w:pPr>
            <w:r>
              <w:rPr>
                <w:rStyle w:val="14"/>
                <w:rFonts w:hint="eastAsia"/>
                <w:lang w:val="en-US" w:eastAsia="zh-CN" w:bidi="ar"/>
              </w:rPr>
              <w:t>发现一个重点项目进度严重滞后，扣1分，扣完为止。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auto"/>
                <w:kern w:val="0"/>
                <w:sz w:val="20"/>
                <w:szCs w:val="20"/>
                <w:u w:val="none"/>
                <w:lang w:val="en-US" w:eastAsia="zh-CN" w:bidi="ar"/>
              </w:rPr>
            </w:pPr>
            <w:r>
              <w:rPr>
                <w:rFonts w:hint="eastAsia" w:ascii="Calibri" w:hAnsi="Calibri" w:eastAsia="宋体" w:cs="Calibri"/>
                <w:i w:val="0"/>
                <w:iCs w:val="0"/>
                <w:color w:val="auto"/>
                <w:kern w:val="0"/>
                <w:sz w:val="20"/>
                <w:szCs w:val="20"/>
                <w:u w:val="none"/>
                <w:lang w:val="en-US" w:eastAsia="zh-CN" w:bidi="ar"/>
              </w:rPr>
              <w:t>2</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auto"/>
                <w:sz w:val="21"/>
                <w:szCs w:val="21"/>
                <w:lang w:val="en-US" w:eastAsia="zh-CN" w:bidi="ar"/>
              </w:rPr>
            </w:pPr>
            <w:r>
              <w:rPr>
                <w:rStyle w:val="14"/>
                <w:rFonts w:hint="eastAsia"/>
                <w:color w:val="auto"/>
                <w:sz w:val="21"/>
                <w:szCs w:val="21"/>
                <w:lang w:val="en-US" w:eastAsia="zh-CN" w:bidi="ar"/>
              </w:rPr>
              <w:t>高技能人才培训基地配套设施建设项目、3D打印技术应用专业进度滞后，扣2分。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jc w:val="center"/>
        </w:trPr>
        <w:tc>
          <w:tcPr>
            <w:tcW w:w="260" w:type="pct"/>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                      达标率</w:t>
            </w:r>
          </w:p>
        </w:tc>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重点建设项目验收合格率及主要工作达标率</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20"/>
                <w:szCs w:val="20"/>
                <w:u w:val="none"/>
              </w:rPr>
            </w:pPr>
            <w:r>
              <w:rPr>
                <w:rFonts w:hint="eastAsia" w:ascii="Calibri" w:hAnsi="Calibri" w:eastAsia="宋体" w:cs="Calibri"/>
                <w:i w:val="0"/>
                <w:iCs w:val="0"/>
                <w:color w:val="000000"/>
                <w:kern w:val="0"/>
                <w:sz w:val="20"/>
                <w:szCs w:val="20"/>
                <w:u w:val="none"/>
                <w:lang w:val="en-US" w:eastAsia="zh-CN" w:bidi="ar"/>
              </w:rPr>
              <w:t>8</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达到质量标准（绩效标准值）的实际工作数与计划工作数的比率，用以反映和考核部门履职时效目标的实现程度。</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质量达标率=（质量达标实际工作数/计划工作数）*100%。质量达标实际工作数：一定时期（年度或规划期）内部门实际完成工作数中达到部门绩效目标要求（绩效标准值）的工作任务数量。</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auto"/>
                <w:kern w:val="0"/>
                <w:sz w:val="20"/>
                <w:szCs w:val="20"/>
                <w:u w:val="none"/>
                <w:lang w:val="en-US" w:eastAsia="zh-CN" w:bidi="ar"/>
              </w:rPr>
            </w:pPr>
            <w:r>
              <w:rPr>
                <w:rFonts w:hint="eastAsia" w:ascii="Calibri" w:hAnsi="Calibri" w:eastAsia="宋体" w:cs="Calibri"/>
                <w:i w:val="0"/>
                <w:iCs w:val="0"/>
                <w:color w:val="auto"/>
                <w:kern w:val="0"/>
                <w:sz w:val="20"/>
                <w:szCs w:val="20"/>
                <w:u w:val="none"/>
                <w:lang w:val="en-US" w:eastAsia="zh-CN" w:bidi="ar"/>
              </w:rPr>
              <w:t>8</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auto"/>
                <w:sz w:val="21"/>
                <w:szCs w:val="21"/>
                <w:lang w:val="en-US" w:eastAsia="zh-CN" w:bidi="ar"/>
              </w:rPr>
            </w:pPr>
            <w:r>
              <w:rPr>
                <w:rStyle w:val="14"/>
                <w:rFonts w:hint="eastAsia"/>
                <w:color w:val="auto"/>
                <w:sz w:val="21"/>
                <w:szCs w:val="21"/>
                <w:lang w:val="en-US" w:eastAsia="zh-CN" w:bidi="ar"/>
              </w:rPr>
              <w:t>未发现项目存在相关质量问题。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jc w:val="center"/>
        </w:trPr>
        <w:tc>
          <w:tcPr>
            <w:tcW w:w="260" w:type="pct"/>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  （18分）</w:t>
            </w:r>
          </w:p>
        </w:tc>
        <w:tc>
          <w:tcPr>
            <w:tcW w:w="25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经济</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效益</w:t>
            </w:r>
          </w:p>
        </w:tc>
        <w:tc>
          <w:tcPr>
            <w:tcW w:w="39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毕业学生就业率</w:t>
            </w:r>
          </w:p>
        </w:tc>
        <w:tc>
          <w:tcPr>
            <w:tcW w:w="173" w:type="pct"/>
            <w:tcBorders>
              <w:top w:val="single" w:color="000000" w:sz="4" w:space="0"/>
              <w:left w:val="single" w:color="auto"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20"/>
                <w:szCs w:val="20"/>
                <w:u w:val="none"/>
              </w:rPr>
            </w:pPr>
            <w:r>
              <w:rPr>
                <w:rFonts w:hint="eastAsia" w:ascii="Calibri" w:hAnsi="Calibri" w:eastAsia="宋体" w:cs="Calibri"/>
                <w:i w:val="0"/>
                <w:iCs w:val="0"/>
                <w:color w:val="000000"/>
                <w:kern w:val="0"/>
                <w:sz w:val="20"/>
                <w:szCs w:val="20"/>
                <w:u w:val="none"/>
                <w:lang w:val="en-US" w:eastAsia="zh-CN" w:bidi="ar"/>
              </w:rPr>
              <w:t>9</w:t>
            </w:r>
          </w:p>
        </w:tc>
        <w:tc>
          <w:tcPr>
            <w:tcW w:w="1285"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部门履行职责对经济发展所带来的直接或间接影响</w:t>
            </w:r>
          </w:p>
        </w:tc>
        <w:tc>
          <w:tcPr>
            <w:tcW w:w="1696"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default"/>
                <w:lang w:val="en-US" w:eastAsia="zh-CN" w:bidi="ar"/>
              </w:rPr>
            </w:pPr>
            <w:r>
              <w:rPr>
                <w:rStyle w:val="14"/>
                <w:rFonts w:hint="eastAsia"/>
                <w:lang w:val="en-US" w:eastAsia="zh-CN" w:bidi="ar"/>
              </w:rPr>
              <w:t>95%以上(含)计7分；每下降1%扣0.5分，扣完为止。</w:t>
            </w:r>
          </w:p>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auto"/>
                <w:kern w:val="0"/>
                <w:sz w:val="20"/>
                <w:szCs w:val="20"/>
                <w:u w:val="none"/>
                <w:lang w:val="en-US" w:eastAsia="zh-CN" w:bidi="ar"/>
              </w:rPr>
            </w:pPr>
            <w:r>
              <w:rPr>
                <w:rFonts w:hint="eastAsia" w:ascii="Calibri" w:hAnsi="Calibri" w:eastAsia="宋体" w:cs="Calibri"/>
                <w:i w:val="0"/>
                <w:iCs w:val="0"/>
                <w:color w:val="auto"/>
                <w:kern w:val="0"/>
                <w:sz w:val="20"/>
                <w:szCs w:val="20"/>
                <w:u w:val="none"/>
                <w:lang w:val="en-US" w:eastAsia="zh-CN" w:bidi="ar"/>
              </w:rPr>
              <w:t>9</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auto"/>
                <w:sz w:val="21"/>
                <w:szCs w:val="21"/>
                <w:lang w:val="en-US" w:eastAsia="zh-CN" w:bidi="ar"/>
              </w:rPr>
            </w:pPr>
            <w:r>
              <w:rPr>
                <w:rStyle w:val="14"/>
                <w:rFonts w:hint="eastAsia"/>
                <w:color w:val="auto"/>
                <w:sz w:val="21"/>
                <w:szCs w:val="21"/>
                <w:lang w:val="en-US" w:eastAsia="zh-CN" w:bidi="ar"/>
              </w:rPr>
              <w:t>本年度毕业2352人，初次就业2312人，就业率达98.3%，其中本地占比44.65%，长三角占比14.37%，珠三角占比24.49%，专业对口率88.61%。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260" w:type="pct"/>
            <w:vMerge w:val="continue"/>
            <w:tcBorders>
              <w:top w:val="single" w:color="auto" w:sz="4" w:space="0"/>
              <w:left w:val="single" w:color="auto"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18"/>
                <w:szCs w:val="18"/>
                <w:u w:val="none"/>
              </w:rPr>
            </w:pPr>
          </w:p>
        </w:tc>
        <w:tc>
          <w:tcPr>
            <w:tcW w:w="256"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社会</w:t>
            </w:r>
          </w:p>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效益</w:t>
            </w:r>
          </w:p>
        </w:tc>
        <w:tc>
          <w:tcPr>
            <w:tcW w:w="391"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技能特色，竞赛引领效果</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20"/>
                <w:szCs w:val="20"/>
                <w:u w:val="none"/>
                <w:lang w:val="en-US"/>
              </w:rPr>
            </w:pPr>
            <w:r>
              <w:rPr>
                <w:rFonts w:hint="eastAsia" w:ascii="Calibri" w:hAnsi="Calibri" w:eastAsia="宋体" w:cs="Calibri"/>
                <w:i w:val="0"/>
                <w:iCs w:val="0"/>
                <w:color w:val="000000"/>
                <w:kern w:val="0"/>
                <w:sz w:val="20"/>
                <w:szCs w:val="20"/>
                <w:u w:val="none"/>
                <w:lang w:val="en-US" w:eastAsia="zh-CN" w:bidi="ar"/>
              </w:rPr>
              <w:t>9</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部门履行职责对社会发展所带来的直接或间接影响</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default"/>
                <w:lang w:val="en-US" w:eastAsia="zh-CN" w:bidi="ar"/>
              </w:rPr>
            </w:pPr>
            <w:r>
              <w:rPr>
                <w:rStyle w:val="14"/>
                <w:rFonts w:hint="eastAsia"/>
                <w:lang w:val="en-US" w:eastAsia="zh-CN" w:bidi="ar"/>
              </w:rPr>
              <w:t>效果显著，得9分;效果较显著，得7-9分;效果一般，得5-7分;效果不够显著，得5分以下。</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lang w:val="en-US" w:eastAsia="zh-CN" w:bidi="ar"/>
              </w:rPr>
            </w:pPr>
            <w:r>
              <w:rPr>
                <w:rStyle w:val="14"/>
                <w:rFonts w:hint="eastAsia"/>
                <w:lang w:val="en-US" w:eastAsia="zh-CN" w:bidi="ar"/>
              </w:rPr>
              <w:t>8.5</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auto"/>
                <w:sz w:val="21"/>
                <w:szCs w:val="21"/>
                <w:lang w:val="en-US" w:eastAsia="zh-CN" w:bidi="ar"/>
              </w:rPr>
            </w:pPr>
            <w:r>
              <w:rPr>
                <w:rStyle w:val="14"/>
                <w:rFonts w:hint="eastAsia"/>
                <w:color w:val="auto"/>
                <w:sz w:val="21"/>
                <w:szCs w:val="21"/>
                <w:lang w:val="en-US" w:eastAsia="zh-CN" w:bidi="ar"/>
              </w:rPr>
              <w:t>2022年共获得国家级奖项5个，省级奖项130个，市级奖项16个，效果较显著。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260"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         （10分）</w:t>
            </w:r>
          </w:p>
        </w:tc>
        <w:tc>
          <w:tcPr>
            <w:tcW w:w="256"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学生和教职工满意度</w:t>
            </w:r>
          </w:p>
        </w:tc>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学生满意度</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20"/>
                <w:szCs w:val="20"/>
                <w:u w:val="none"/>
                <w:lang w:val="en-US"/>
              </w:rPr>
            </w:pPr>
            <w:r>
              <w:rPr>
                <w:rFonts w:hint="eastAsia" w:ascii="Calibri" w:hAnsi="Calibri" w:eastAsia="宋体" w:cs="Calibri"/>
                <w:i w:val="0"/>
                <w:iCs w:val="0"/>
                <w:color w:val="000000"/>
                <w:kern w:val="0"/>
                <w:sz w:val="20"/>
                <w:szCs w:val="20"/>
                <w:u w:val="none"/>
                <w:lang w:val="en-US" w:eastAsia="zh-CN" w:bidi="ar"/>
              </w:rPr>
              <w:t>6</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学生对部门履职效果的满意程度</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满意度90%以上，计10分；每下降1%，扣0.2分，扣完为止。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lang w:val="en-US" w:eastAsia="zh-CN" w:bidi="ar"/>
              </w:rPr>
            </w:pPr>
            <w:r>
              <w:rPr>
                <w:rStyle w:val="14"/>
                <w:rFonts w:hint="eastAsia"/>
                <w:lang w:val="en-US" w:eastAsia="zh-CN" w:bidi="ar"/>
              </w:rPr>
              <w:t>4.8</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auto"/>
                <w:sz w:val="21"/>
                <w:szCs w:val="21"/>
                <w:lang w:val="en-US" w:eastAsia="zh-CN" w:bidi="ar"/>
              </w:rPr>
            </w:pPr>
            <w:r>
              <w:rPr>
                <w:rStyle w:val="14"/>
                <w:rFonts w:hint="eastAsia"/>
                <w:color w:val="auto"/>
                <w:sz w:val="21"/>
                <w:szCs w:val="21"/>
                <w:lang w:val="en-US" w:eastAsia="zh-CN" w:bidi="ar"/>
              </w:rPr>
              <w:t>共收集1729份有效问券，学生满意度</w:t>
            </w:r>
            <w:r>
              <w:rPr>
                <w:rStyle w:val="14"/>
                <w:rFonts w:hint="default"/>
                <w:color w:val="auto"/>
                <w:sz w:val="21"/>
                <w:szCs w:val="21"/>
                <w:lang w:val="en-US" w:eastAsia="zh-CN" w:bidi="ar"/>
              </w:rPr>
              <w:t>8</w:t>
            </w:r>
            <w:r>
              <w:rPr>
                <w:rStyle w:val="14"/>
                <w:rFonts w:hint="eastAsia"/>
                <w:color w:val="auto"/>
                <w:sz w:val="21"/>
                <w:szCs w:val="21"/>
                <w:lang w:val="en-US" w:eastAsia="zh-CN" w:bidi="ar"/>
              </w:rPr>
              <w:t>4</w:t>
            </w:r>
            <w:r>
              <w:rPr>
                <w:rStyle w:val="14"/>
                <w:rFonts w:hint="default"/>
                <w:color w:val="auto"/>
                <w:sz w:val="21"/>
                <w:szCs w:val="21"/>
                <w:lang w:val="en-US" w:eastAsia="zh-CN" w:bidi="ar"/>
              </w:rPr>
              <w:t>.0</w:t>
            </w:r>
            <w:r>
              <w:rPr>
                <w:rStyle w:val="14"/>
                <w:rFonts w:hint="eastAsia"/>
                <w:color w:val="auto"/>
                <w:sz w:val="21"/>
                <w:szCs w:val="21"/>
                <w:lang w:val="en-US" w:eastAsia="zh-CN" w:bidi="ar"/>
              </w:rPr>
              <w:t>2</w:t>
            </w:r>
            <w:r>
              <w:rPr>
                <w:rStyle w:val="14"/>
                <w:rFonts w:hint="default"/>
                <w:color w:val="auto"/>
                <w:sz w:val="21"/>
                <w:szCs w:val="21"/>
                <w:lang w:val="en-US" w:eastAsia="zh-CN" w:bidi="ar"/>
              </w:rPr>
              <w:t>%</w:t>
            </w:r>
            <w:r>
              <w:rPr>
                <w:rStyle w:val="14"/>
                <w:rFonts w:hint="eastAsia"/>
                <w:color w:val="auto"/>
                <w:sz w:val="21"/>
                <w:szCs w:val="21"/>
                <w:lang w:val="en-US" w:eastAsia="zh-CN" w:bidi="ar"/>
              </w:rPr>
              <w:t>，扣1.2分。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260" w:type="pct"/>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56" w:type="pct"/>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kern w:val="0"/>
                <w:sz w:val="20"/>
                <w:szCs w:val="20"/>
                <w:u w:val="none"/>
                <w:lang w:val="en-US" w:eastAsia="zh-CN" w:bidi="ar"/>
              </w:rPr>
            </w:pPr>
          </w:p>
        </w:tc>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教职工满意度</w:t>
            </w: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kern w:val="0"/>
                <w:sz w:val="20"/>
                <w:szCs w:val="20"/>
                <w:u w:val="none"/>
                <w:lang w:val="en-US" w:eastAsia="zh-CN" w:bidi="ar"/>
              </w:rPr>
            </w:pPr>
            <w:r>
              <w:rPr>
                <w:rFonts w:hint="eastAsia" w:ascii="Calibri" w:hAnsi="Calibri" w:eastAsia="宋体" w:cs="Calibri"/>
                <w:i w:val="0"/>
                <w:iCs w:val="0"/>
                <w:color w:val="000000"/>
                <w:kern w:val="0"/>
                <w:sz w:val="20"/>
                <w:szCs w:val="20"/>
                <w:u w:val="none"/>
                <w:lang w:val="en-US" w:eastAsia="zh-CN" w:bidi="ar"/>
              </w:rPr>
              <w:t>4</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default"/>
                <w:lang w:val="en-US" w:eastAsia="zh-CN" w:bidi="ar"/>
              </w:rPr>
            </w:pPr>
            <w:r>
              <w:rPr>
                <w:rStyle w:val="14"/>
                <w:rFonts w:hint="eastAsia"/>
                <w:lang w:val="en-US" w:eastAsia="zh-CN" w:bidi="ar"/>
              </w:rPr>
              <w:t>教职工对部门履职效果的满意程度</w:t>
            </w: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left"/>
              <w:textAlignment w:val="center"/>
              <w:rPr>
                <w:rStyle w:val="14"/>
                <w:rFonts w:hint="eastAsia"/>
                <w:lang w:val="en-US" w:eastAsia="zh-CN" w:bidi="ar"/>
              </w:rPr>
            </w:pPr>
            <w:r>
              <w:rPr>
                <w:rStyle w:val="14"/>
                <w:rFonts w:hint="eastAsia"/>
                <w:lang w:val="en-US" w:eastAsia="zh-CN" w:bidi="ar"/>
              </w:rPr>
              <w:t>满意度90%以上，计10分；每下降1%，扣0.2分，扣完为止。</w:t>
            </w: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lang w:val="en-US" w:eastAsia="zh-CN" w:bidi="ar"/>
              </w:rPr>
            </w:pPr>
            <w:r>
              <w:rPr>
                <w:rStyle w:val="14"/>
                <w:rFonts w:hint="eastAsia"/>
                <w:lang w:val="en-US" w:eastAsia="zh-CN" w:bidi="ar"/>
              </w:rPr>
              <w:t>3.8</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color w:val="FF0000"/>
                <w:sz w:val="21"/>
                <w:szCs w:val="21"/>
                <w:lang w:val="en-US" w:eastAsia="zh-CN" w:bidi="ar"/>
              </w:rPr>
            </w:pPr>
            <w:r>
              <w:rPr>
                <w:rStyle w:val="14"/>
                <w:rFonts w:hint="eastAsia"/>
                <w:color w:val="auto"/>
                <w:sz w:val="21"/>
                <w:szCs w:val="21"/>
                <w:lang w:val="en-US" w:eastAsia="zh-CN" w:bidi="ar"/>
              </w:rPr>
              <w:t>共收集288份有效问券，学生满意度89.18%，扣0.2分。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260"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5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22"/>
                <w:szCs w:val="22"/>
                <w:u w:val="none"/>
              </w:rPr>
            </w:pPr>
          </w:p>
        </w:tc>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center"/>
              <w:rPr>
                <w:rFonts w:hint="eastAsia" w:ascii="宋体" w:hAnsi="宋体" w:eastAsia="宋体" w:cs="宋体"/>
                <w:i w:val="0"/>
                <w:iCs w:val="0"/>
                <w:color w:val="000000"/>
                <w:sz w:val="20"/>
                <w:szCs w:val="20"/>
                <w:u w:val="none"/>
              </w:rPr>
            </w:pPr>
          </w:p>
        </w:tc>
        <w:tc>
          <w:tcPr>
            <w:tcW w:w="1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b/>
                <w:bCs/>
                <w:i w:val="0"/>
                <w:iCs w:val="0"/>
                <w:color w:val="000000"/>
                <w:kern w:val="0"/>
                <w:sz w:val="20"/>
                <w:szCs w:val="20"/>
                <w:u w:val="none"/>
                <w:lang w:val="en-US" w:eastAsia="zh-CN" w:bidi="ar"/>
              </w:rPr>
              <w:t>100</w:t>
            </w:r>
          </w:p>
        </w:tc>
        <w:tc>
          <w:tcPr>
            <w:tcW w:w="128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left"/>
              <w:rPr>
                <w:rFonts w:hint="default" w:ascii="Calibri" w:hAnsi="Calibri" w:eastAsia="宋体" w:cs="Calibri"/>
                <w:i w:val="0"/>
                <w:iCs w:val="0"/>
                <w:color w:val="000000"/>
                <w:sz w:val="20"/>
                <w:szCs w:val="20"/>
                <w:u w:val="none"/>
              </w:rPr>
            </w:pPr>
          </w:p>
        </w:tc>
        <w:tc>
          <w:tcPr>
            <w:tcW w:w="169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wordWrap/>
              <w:overflowPunct/>
              <w:topLinePunct w:val="0"/>
              <w:bidi w:val="0"/>
              <w:adjustRightInd w:val="0"/>
              <w:snapToGrid w:val="0"/>
              <w:ind w:left="-63" w:leftChars="-30" w:right="-63" w:rightChars="-30"/>
              <w:jc w:val="both"/>
              <w:rPr>
                <w:rFonts w:hint="default" w:ascii="Calibri" w:hAnsi="Calibri" w:eastAsia="宋体" w:cs="Calibri"/>
                <w:i w:val="0"/>
                <w:iCs w:val="0"/>
                <w:color w:val="000000"/>
                <w:sz w:val="20"/>
                <w:szCs w:val="20"/>
                <w:u w:val="none"/>
              </w:rPr>
            </w:pPr>
          </w:p>
        </w:tc>
        <w:tc>
          <w:tcPr>
            <w:tcW w:w="1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Style w:val="14"/>
                <w:rFonts w:hint="default"/>
                <w:b/>
                <w:bCs/>
                <w:lang w:val="en-US" w:eastAsia="zh-CN" w:bidi="ar"/>
              </w:rPr>
            </w:pPr>
            <w:r>
              <w:rPr>
                <w:rStyle w:val="14"/>
                <w:rFonts w:hint="eastAsia"/>
                <w:b/>
                <w:bCs/>
                <w:lang w:val="en-US" w:eastAsia="zh-CN" w:bidi="ar"/>
              </w:rPr>
              <w:t>72.5</w:t>
            </w:r>
          </w:p>
        </w:tc>
        <w:tc>
          <w:tcPr>
            <w:tcW w:w="7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adjustRightInd w:val="0"/>
              <w:snapToGrid w:val="0"/>
              <w:ind w:left="-63" w:leftChars="-30" w:right="-63" w:rightChars="-30"/>
              <w:jc w:val="center"/>
              <w:textAlignment w:val="center"/>
              <w:rPr>
                <w:rFonts w:hint="eastAsia" w:ascii="Calibri" w:hAnsi="Calibri" w:eastAsia="宋体" w:cs="Calibri"/>
                <w:i w:val="0"/>
                <w:iCs w:val="0"/>
                <w:color w:val="000000"/>
                <w:kern w:val="0"/>
                <w:sz w:val="20"/>
                <w:szCs w:val="20"/>
                <w:u w:val="none"/>
                <w:lang w:val="en-US" w:eastAsia="zh-CN" w:bidi="ar"/>
              </w:rPr>
            </w:pPr>
          </w:p>
        </w:tc>
      </w:tr>
    </w:tbl>
    <w:p>
      <w:pPr>
        <w:pStyle w:val="8"/>
        <w:rPr>
          <w:rFonts w:hint="default"/>
          <w:lang w:val="en-US" w:eastAsia="zh-CN"/>
        </w:rPr>
      </w:pPr>
    </w:p>
    <w:p>
      <w:pPr>
        <w:pStyle w:val="3"/>
        <w:rPr>
          <w:rFonts w:hint="default"/>
          <w:lang w:val="en-US" w:eastAsia="zh-CN"/>
        </w:rPr>
      </w:pPr>
    </w:p>
    <w:sectPr>
      <w:footerReference r:id="rId6" w:type="default"/>
      <w:pgSz w:w="16838" w:h="11906" w:orient="landscape"/>
      <w:pgMar w:top="1803" w:right="1440" w:bottom="1803" w:left="1440" w:header="851" w:footer="992" w:gutter="0"/>
      <w:pgNumType w:fmt="decimal"/>
      <w:cols w:space="0" w:num="1"/>
      <w:rtlGutter w:val="0"/>
      <w:docGrid w:type="line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pPr>
      <w:r>
        <w:separator/>
      </w:r>
    </w:p>
  </w:footnote>
  <w:footnote w:type="continuationSeparator" w:id="3">
    <w:p>
      <w:pPr>
        <w:spacing w:line="240" w:lineRule="auto"/>
      </w:pPr>
      <w:r>
        <w:continuationSeparator/>
      </w:r>
    </w:p>
  </w:footnote>
  <w:footnote w:id="0">
    <w:p>
      <w:pPr>
        <w:pStyle w:val="8"/>
        <w:snapToGrid w:val="0"/>
        <w:rPr>
          <w:rFonts w:hint="default" w:eastAsia="宋体"/>
          <w:lang w:val="en-US" w:eastAsia="zh-CN"/>
        </w:rPr>
      </w:pPr>
      <w:r>
        <w:rPr>
          <w:rStyle w:val="12"/>
        </w:rPr>
        <w:footnoteRef/>
      </w:r>
      <w:r>
        <w:t xml:space="preserve"> </w:t>
      </w:r>
      <w:r>
        <w:rPr>
          <w:rFonts w:hint="eastAsia" w:eastAsia="宋体"/>
          <w:lang w:val="en-US" w:eastAsia="zh-CN"/>
        </w:rPr>
        <w:t>2022年技师学院专项债支出3920.38万元（不含专项债资金银行手续费0.09万元）、偿还银行贷款本金821.57万元，未包含在决算金额内。</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F70FCB"/>
    <w:multiLevelType w:val="singleLevel"/>
    <w:tmpl w:val="20F70FCB"/>
    <w:lvl w:ilvl="0" w:tentative="0">
      <w:start w:val="5"/>
      <w:numFmt w:val="chineseCounting"/>
      <w:suff w:val="nothing"/>
      <w:lvlText w:val="%1、"/>
      <w:lvlJc w:val="left"/>
      <w:rPr>
        <w:rFonts w:hint="eastAsia"/>
      </w:rPr>
    </w:lvl>
  </w:abstractNum>
  <w:abstractNum w:abstractNumId="1">
    <w:nsid w:val="2450E546"/>
    <w:multiLevelType w:val="singleLevel"/>
    <w:tmpl w:val="2450E546"/>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1NzJiMGZkOWQ4ZmQxNjA1Y2IxMTFlNmU3NmQ0Y2MifQ=="/>
  </w:docVars>
  <w:rsids>
    <w:rsidRoot w:val="00172A27"/>
    <w:rsid w:val="00301CD1"/>
    <w:rsid w:val="00E923C5"/>
    <w:rsid w:val="011E145A"/>
    <w:rsid w:val="015A3576"/>
    <w:rsid w:val="01AC5108"/>
    <w:rsid w:val="03932BE6"/>
    <w:rsid w:val="03B629A7"/>
    <w:rsid w:val="04602913"/>
    <w:rsid w:val="04853571"/>
    <w:rsid w:val="053B5E84"/>
    <w:rsid w:val="05514D82"/>
    <w:rsid w:val="05D368CA"/>
    <w:rsid w:val="061F3FCD"/>
    <w:rsid w:val="072A41CF"/>
    <w:rsid w:val="07353F56"/>
    <w:rsid w:val="07790334"/>
    <w:rsid w:val="07EE4A01"/>
    <w:rsid w:val="08502E39"/>
    <w:rsid w:val="088C3A7B"/>
    <w:rsid w:val="08E507CD"/>
    <w:rsid w:val="08E84249"/>
    <w:rsid w:val="092E1A43"/>
    <w:rsid w:val="09471DC4"/>
    <w:rsid w:val="09C0022F"/>
    <w:rsid w:val="09CE37FB"/>
    <w:rsid w:val="0A2368BD"/>
    <w:rsid w:val="0A434869"/>
    <w:rsid w:val="0A943BA0"/>
    <w:rsid w:val="0C447B35"/>
    <w:rsid w:val="0C7F5388"/>
    <w:rsid w:val="0CC24854"/>
    <w:rsid w:val="0D0A074E"/>
    <w:rsid w:val="0EFE4EFA"/>
    <w:rsid w:val="0F1A7D5E"/>
    <w:rsid w:val="0F7C2CF7"/>
    <w:rsid w:val="0F9F0794"/>
    <w:rsid w:val="10590573"/>
    <w:rsid w:val="10601AC0"/>
    <w:rsid w:val="10E448A1"/>
    <w:rsid w:val="117F261E"/>
    <w:rsid w:val="11B945E7"/>
    <w:rsid w:val="12124EEF"/>
    <w:rsid w:val="126161D4"/>
    <w:rsid w:val="130B23FF"/>
    <w:rsid w:val="138E6B24"/>
    <w:rsid w:val="13AA3B19"/>
    <w:rsid w:val="13F113F9"/>
    <w:rsid w:val="14025795"/>
    <w:rsid w:val="143650E7"/>
    <w:rsid w:val="154F0566"/>
    <w:rsid w:val="15634727"/>
    <w:rsid w:val="15A00DC2"/>
    <w:rsid w:val="16AE4A37"/>
    <w:rsid w:val="17143815"/>
    <w:rsid w:val="177E46F0"/>
    <w:rsid w:val="17B34A6B"/>
    <w:rsid w:val="1824170A"/>
    <w:rsid w:val="18A0022D"/>
    <w:rsid w:val="18D56FD4"/>
    <w:rsid w:val="192166BD"/>
    <w:rsid w:val="192B3CA2"/>
    <w:rsid w:val="19A35324"/>
    <w:rsid w:val="1AA77DE7"/>
    <w:rsid w:val="1AEB70B2"/>
    <w:rsid w:val="1B5763C6"/>
    <w:rsid w:val="1B833F1E"/>
    <w:rsid w:val="1B897FE4"/>
    <w:rsid w:val="1C623275"/>
    <w:rsid w:val="1C9E5AB0"/>
    <w:rsid w:val="1CC622F2"/>
    <w:rsid w:val="1CD67763"/>
    <w:rsid w:val="1CDC3027"/>
    <w:rsid w:val="1D016023"/>
    <w:rsid w:val="1D4B1F5B"/>
    <w:rsid w:val="1D5A3F4C"/>
    <w:rsid w:val="1D93644C"/>
    <w:rsid w:val="1DEE019F"/>
    <w:rsid w:val="1E7B6870"/>
    <w:rsid w:val="1EA53A8D"/>
    <w:rsid w:val="1EA85DD1"/>
    <w:rsid w:val="1FA261F1"/>
    <w:rsid w:val="20BD316F"/>
    <w:rsid w:val="214E39D9"/>
    <w:rsid w:val="22AA14D2"/>
    <w:rsid w:val="22B12860"/>
    <w:rsid w:val="22D327D6"/>
    <w:rsid w:val="235919D7"/>
    <w:rsid w:val="23A73825"/>
    <w:rsid w:val="2472601F"/>
    <w:rsid w:val="24AA38A8"/>
    <w:rsid w:val="24C30629"/>
    <w:rsid w:val="251A61EE"/>
    <w:rsid w:val="2530390F"/>
    <w:rsid w:val="25335AB7"/>
    <w:rsid w:val="253908EB"/>
    <w:rsid w:val="25703CFB"/>
    <w:rsid w:val="26364547"/>
    <w:rsid w:val="265C0626"/>
    <w:rsid w:val="27932534"/>
    <w:rsid w:val="28043432"/>
    <w:rsid w:val="2895453F"/>
    <w:rsid w:val="29233D8C"/>
    <w:rsid w:val="29482DB4"/>
    <w:rsid w:val="2A021BF3"/>
    <w:rsid w:val="2A180C97"/>
    <w:rsid w:val="2A961A01"/>
    <w:rsid w:val="2AA72062"/>
    <w:rsid w:val="2AD92954"/>
    <w:rsid w:val="2B5B3A4F"/>
    <w:rsid w:val="2D1C121E"/>
    <w:rsid w:val="2DA153AF"/>
    <w:rsid w:val="2E6A602D"/>
    <w:rsid w:val="2F096FA3"/>
    <w:rsid w:val="31584F08"/>
    <w:rsid w:val="31731558"/>
    <w:rsid w:val="319C46DB"/>
    <w:rsid w:val="32B560BA"/>
    <w:rsid w:val="330D5C27"/>
    <w:rsid w:val="33200673"/>
    <w:rsid w:val="33751688"/>
    <w:rsid w:val="33D1107B"/>
    <w:rsid w:val="33F84753"/>
    <w:rsid w:val="349E709D"/>
    <w:rsid w:val="34B97E88"/>
    <w:rsid w:val="34CA5049"/>
    <w:rsid w:val="35122EE6"/>
    <w:rsid w:val="351837F2"/>
    <w:rsid w:val="353F5AA9"/>
    <w:rsid w:val="3735762B"/>
    <w:rsid w:val="37AE13A6"/>
    <w:rsid w:val="37CE1367"/>
    <w:rsid w:val="38054592"/>
    <w:rsid w:val="382C2F15"/>
    <w:rsid w:val="39702395"/>
    <w:rsid w:val="39761CB6"/>
    <w:rsid w:val="39904B26"/>
    <w:rsid w:val="3ADE4AA0"/>
    <w:rsid w:val="3B410CC4"/>
    <w:rsid w:val="3BF21AC7"/>
    <w:rsid w:val="3C3545FF"/>
    <w:rsid w:val="3C4A6C0F"/>
    <w:rsid w:val="3C97441D"/>
    <w:rsid w:val="3D94095C"/>
    <w:rsid w:val="3F176A5E"/>
    <w:rsid w:val="403703F1"/>
    <w:rsid w:val="40BE3EC9"/>
    <w:rsid w:val="40F736DC"/>
    <w:rsid w:val="421A23EB"/>
    <w:rsid w:val="42743EF8"/>
    <w:rsid w:val="434346AE"/>
    <w:rsid w:val="45435B94"/>
    <w:rsid w:val="466977DD"/>
    <w:rsid w:val="47431429"/>
    <w:rsid w:val="47D468CA"/>
    <w:rsid w:val="48561630"/>
    <w:rsid w:val="48813B73"/>
    <w:rsid w:val="489B67DB"/>
    <w:rsid w:val="48D27A3B"/>
    <w:rsid w:val="4942090B"/>
    <w:rsid w:val="495E42BD"/>
    <w:rsid w:val="49CF30CA"/>
    <w:rsid w:val="4A057471"/>
    <w:rsid w:val="4A094045"/>
    <w:rsid w:val="4A3E3EA5"/>
    <w:rsid w:val="4A7E7D90"/>
    <w:rsid w:val="4AC17116"/>
    <w:rsid w:val="4B360910"/>
    <w:rsid w:val="4C8638F9"/>
    <w:rsid w:val="4D896779"/>
    <w:rsid w:val="4E0F02B7"/>
    <w:rsid w:val="4E571C5E"/>
    <w:rsid w:val="4F1E7B46"/>
    <w:rsid w:val="4F745983"/>
    <w:rsid w:val="4F7D4202"/>
    <w:rsid w:val="50040042"/>
    <w:rsid w:val="502E2D98"/>
    <w:rsid w:val="512E314A"/>
    <w:rsid w:val="51A90A23"/>
    <w:rsid w:val="52293E3A"/>
    <w:rsid w:val="523C749C"/>
    <w:rsid w:val="52860D64"/>
    <w:rsid w:val="529415BE"/>
    <w:rsid w:val="52992845"/>
    <w:rsid w:val="52BC74A2"/>
    <w:rsid w:val="52EA411F"/>
    <w:rsid w:val="52EC5A8E"/>
    <w:rsid w:val="534529CD"/>
    <w:rsid w:val="53AA789D"/>
    <w:rsid w:val="53B77F0C"/>
    <w:rsid w:val="54336CC9"/>
    <w:rsid w:val="54600F48"/>
    <w:rsid w:val="5463135D"/>
    <w:rsid w:val="54663EF6"/>
    <w:rsid w:val="547E44A7"/>
    <w:rsid w:val="54E06785"/>
    <w:rsid w:val="554B352D"/>
    <w:rsid w:val="55A74996"/>
    <w:rsid w:val="55CF2ECB"/>
    <w:rsid w:val="565151E5"/>
    <w:rsid w:val="5700455C"/>
    <w:rsid w:val="57A53A3A"/>
    <w:rsid w:val="59AA5338"/>
    <w:rsid w:val="5A336288"/>
    <w:rsid w:val="5A3E0EEF"/>
    <w:rsid w:val="5B3C6463"/>
    <w:rsid w:val="5B863B83"/>
    <w:rsid w:val="5B9E1213"/>
    <w:rsid w:val="5BB0752C"/>
    <w:rsid w:val="5C544CE8"/>
    <w:rsid w:val="5CA63BA2"/>
    <w:rsid w:val="5E400323"/>
    <w:rsid w:val="5E693A13"/>
    <w:rsid w:val="5F02634F"/>
    <w:rsid w:val="60BB130F"/>
    <w:rsid w:val="60EB34D1"/>
    <w:rsid w:val="61207037"/>
    <w:rsid w:val="61577355"/>
    <w:rsid w:val="616650F5"/>
    <w:rsid w:val="61BA74B3"/>
    <w:rsid w:val="624E034C"/>
    <w:rsid w:val="625247BE"/>
    <w:rsid w:val="62E23D94"/>
    <w:rsid w:val="62F31980"/>
    <w:rsid w:val="632058D7"/>
    <w:rsid w:val="63702A4C"/>
    <w:rsid w:val="64D400D7"/>
    <w:rsid w:val="650B5B08"/>
    <w:rsid w:val="653A2CD0"/>
    <w:rsid w:val="66BB6DD6"/>
    <w:rsid w:val="66D97C92"/>
    <w:rsid w:val="673C7CD4"/>
    <w:rsid w:val="67683ED3"/>
    <w:rsid w:val="67DF13E8"/>
    <w:rsid w:val="68126ECA"/>
    <w:rsid w:val="682137F6"/>
    <w:rsid w:val="686A24F6"/>
    <w:rsid w:val="68AB1A5B"/>
    <w:rsid w:val="6925696D"/>
    <w:rsid w:val="69D5787F"/>
    <w:rsid w:val="6B013226"/>
    <w:rsid w:val="6C5506F2"/>
    <w:rsid w:val="6C690941"/>
    <w:rsid w:val="6DF1228E"/>
    <w:rsid w:val="6E3D4575"/>
    <w:rsid w:val="6E7A7577"/>
    <w:rsid w:val="6F170107"/>
    <w:rsid w:val="6F963F3C"/>
    <w:rsid w:val="70AB49DA"/>
    <w:rsid w:val="71135346"/>
    <w:rsid w:val="7121017E"/>
    <w:rsid w:val="7346211D"/>
    <w:rsid w:val="746260B1"/>
    <w:rsid w:val="746F1200"/>
    <w:rsid w:val="761563F8"/>
    <w:rsid w:val="764F5BA4"/>
    <w:rsid w:val="77035F1E"/>
    <w:rsid w:val="77942E4E"/>
    <w:rsid w:val="77C75732"/>
    <w:rsid w:val="77F3130B"/>
    <w:rsid w:val="78643D1B"/>
    <w:rsid w:val="79DF4732"/>
    <w:rsid w:val="7A2569B2"/>
    <w:rsid w:val="7A861051"/>
    <w:rsid w:val="7A9E53FE"/>
    <w:rsid w:val="7AB27306"/>
    <w:rsid w:val="7B503B39"/>
    <w:rsid w:val="7B742A28"/>
    <w:rsid w:val="7B7A178C"/>
    <w:rsid w:val="7D2248FE"/>
    <w:rsid w:val="7D71275B"/>
    <w:rsid w:val="7D8B5C0C"/>
    <w:rsid w:val="7E0B1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 w:type="paragraph" w:styleId="3">
    <w:name w:val="Body Text"/>
    <w:basedOn w:val="1"/>
    <w:next w:val="1"/>
    <w:qFormat/>
    <w:uiPriority w:val="0"/>
    <w:pPr>
      <w:snapToGrid w:val="0"/>
      <w:spacing w:line="579" w:lineRule="exact"/>
    </w:pPr>
    <w:rPr>
      <w:rFonts w:eastAsia="仿宋_GB2312"/>
      <w:sz w:val="32"/>
    </w:rPr>
  </w:style>
  <w:style w:type="paragraph" w:styleId="4">
    <w:name w:val="Body Text Indent 2"/>
    <w:basedOn w:val="1"/>
    <w:unhideWhenUsed/>
    <w:qFormat/>
    <w:uiPriority w:val="0"/>
    <w:pPr>
      <w:spacing w:beforeLines="0" w:afterLines="0" w:line="480" w:lineRule="auto"/>
      <w:ind w:left="420" w:leftChars="200"/>
    </w:pPr>
    <w:rPr>
      <w:rFonts w:hint="default"/>
      <w:sz w:val="21"/>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unhideWhenUsed/>
    <w:qFormat/>
    <w:uiPriority w:val="39"/>
    <w:pPr>
      <w:spacing w:beforeLines="0" w:afterLines="0"/>
    </w:pPr>
    <w:rPr>
      <w:rFonts w:hint="default"/>
      <w:sz w:val="24"/>
      <w:szCs w:val="24"/>
    </w:rPr>
  </w:style>
  <w:style w:type="paragraph" w:styleId="8">
    <w:name w:val="footnote text"/>
    <w:basedOn w:val="1"/>
    <w:next w:val="3"/>
    <w:unhideWhenUsed/>
    <w:qFormat/>
    <w:uiPriority w:val="99"/>
    <w:pPr>
      <w:snapToGrid w:val="0"/>
      <w:jc w:val="left"/>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otnote reference"/>
    <w:basedOn w:val="11"/>
    <w:qFormat/>
    <w:uiPriority w:val="0"/>
    <w:rPr>
      <w:vertAlign w:val="superscript"/>
    </w:rPr>
  </w:style>
  <w:style w:type="character" w:customStyle="1" w:styleId="13">
    <w:name w:val="font61"/>
    <w:basedOn w:val="11"/>
    <w:qFormat/>
    <w:uiPriority w:val="0"/>
    <w:rPr>
      <w:rFonts w:hint="default" w:ascii="Arial" w:hAnsi="Arial" w:cs="Arial"/>
      <w:color w:val="000000"/>
      <w:sz w:val="21"/>
      <w:szCs w:val="21"/>
      <w:u w:val="none"/>
    </w:rPr>
  </w:style>
  <w:style w:type="character" w:customStyle="1" w:styleId="14">
    <w:name w:val="font01"/>
    <w:basedOn w:val="11"/>
    <w:qFormat/>
    <w:uiPriority w:val="0"/>
    <w:rPr>
      <w:rFonts w:hint="eastAsia" w:ascii="宋体" w:hAnsi="宋体" w:eastAsia="宋体" w:cs="宋体"/>
      <w:color w:val="000000"/>
      <w:sz w:val="18"/>
      <w:szCs w:val="18"/>
      <w:u w:val="none"/>
    </w:rPr>
  </w:style>
  <w:style w:type="character" w:customStyle="1" w:styleId="15">
    <w:name w:val="font41"/>
    <w:basedOn w:val="11"/>
    <w:qFormat/>
    <w:uiPriority w:val="0"/>
    <w:rPr>
      <w:rFonts w:hint="eastAsia" w:ascii="宋体" w:hAnsi="宋体" w:eastAsia="宋体" w:cs="宋体"/>
      <w:color w:val="000000"/>
      <w:sz w:val="20"/>
      <w:szCs w:val="20"/>
      <w:u w:val="none"/>
    </w:rPr>
  </w:style>
  <w:style w:type="character" w:customStyle="1" w:styleId="16">
    <w:name w:val="font11"/>
    <w:basedOn w:val="11"/>
    <w:qFormat/>
    <w:uiPriority w:val="0"/>
    <w:rPr>
      <w:rFonts w:ascii="Arial" w:hAnsi="Arial" w:cs="Arial"/>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18976</Words>
  <Characters>21584</Characters>
  <Lines>0</Lines>
  <Paragraphs>0</Paragraphs>
  <TotalTime>4</TotalTime>
  <ScaleCrop>false</ScaleCrop>
  <LinksUpToDate>false</LinksUpToDate>
  <CharactersWithSpaces>24574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2023-05-14T17:47:00Z</dcterms:created>
  <dc:creator>风声水起</dc:creator>
  <cp:lastModifiedBy>丽君</cp:lastModifiedBy>
  <dcterms:modified xsi:type="dcterms:W3CDTF">2023-09-27T08:39:36Z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3FED0F0ACCE84705AD69B37ADF128C04_13</vt:lpwstr>
  </property>
</Properties>
</file>